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people. The persistent emphasis upon such features as the rejection of Saul, his enmity towards David, the latter’s chivalry, and his friendship for Jonathan, will partly account for the present literary intricacies; and, on general grounds, traditions of quite distinct origin (Calebite or Jerahmeelite; indigenous Judaean; North Israelite or Benjamite) are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expected in a work now in post-exilic form.@@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David’s history is handled independently of Saul in 1 Sam. xxv.; and the narrative, now editorially connected with the context </w:t>
      </w:r>
      <w:r>
        <w:rPr>
          <w:rFonts w:ascii="Times New Roman" w:eastAsia="Times New Roman" w:hAnsi="Times New Roman" w:cs="Times New Roman"/>
          <w:i/>
          <w:iCs/>
          <w:color w:val="000000"/>
          <w:spacing w:val="0"/>
          <w:w w:val="100"/>
          <w:position w:val="0"/>
          <w:shd w:val="clear" w:color="auto" w:fill="auto"/>
          <w:lang w:val="en-US" w:eastAsia="en-US" w:bidi="en-US"/>
        </w:rPr>
        <w:t>(υ.</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see xxviii. 3,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44, see 2 Sam. iii. 15), gives a valuable picture of his life in the south of Palestine.@@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With this notice his relations with south Judaean cities in xxx. 26-31. His flight northwards to the Philistine king of Gath (xxvii.) is hardly connected with the preceding situations in xxiv. 17-22, xxv. or xxvi. 21-25, and his previous slaughter of the Philistines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Keilah (xxiii. 1-15) raises historical difficulties. This is not to mention his earlier successes over the same people, which are very explicitly ignored in xxix. 5, although the famous couplet there quoted now finds its only explanation in xviii. 7 after the death of Goliath and the defeat of the Philistines. The traditions of varying relations between Judah and the Philistines attached to David (cf. xxvii. 5 seq.) are quite distinct from the popular stories of giants of Gath, and now form part of the joint history of David and Saul. The independent narratives of the latter’s fate seem to represent one of those disastrous attacks upon the north which are familiar in the later history of the northern kingdom (xxviii. 4, xxix;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Jews: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 12). The geographical data are confused by the stories of David (see 1 Sam. xxviii.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xxix. </w:t>
      </w:r>
      <w:r>
        <w:rPr>
          <w:rFonts w:ascii="Times New Roman" w:eastAsia="Times New Roman" w:hAnsi="Times New Roman" w:cs="Times New Roman"/>
          <w:color w:val="000000"/>
          <w:spacing w:val="0"/>
          <w:w w:val="100"/>
          <w:position w:val="0"/>
          <w:shd w:val="clear" w:color="auto" w:fill="auto"/>
          <w:lang w:val="en-US" w:eastAsia="en-US" w:bidi="en-US"/>
        </w:rPr>
        <w:t xml:space="preserve">1, and </w:t>
      </w:r>
      <w:r>
        <w:rPr>
          <w:rFonts w:ascii="Times New Roman" w:eastAsia="Times New Roman" w:hAnsi="Times New Roman" w:cs="Times New Roman"/>
          <w:color w:val="000000"/>
          <w:spacing w:val="0"/>
          <w:w w:val="100"/>
          <w:position w:val="0"/>
          <w:shd w:val="clear" w:color="auto" w:fill="auto"/>
          <w:lang w:val="en-US" w:eastAsia="en-US" w:bidi="en-US"/>
        </w:rPr>
        <w:t xml:space="preserve">the commentaries), and, while 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Philistines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once march north to Jezreel to deliver their attack, David’s presence is not discovered until Aphek is reached (xxix.). His journey is the opportunity for an Amalekite raid (xxx. </w:t>
      </w:r>
      <w:r>
        <w:rPr>
          <w:rFonts w:ascii="Times New Roman" w:eastAsia="Times New Roman" w:hAnsi="Times New Roman" w:cs="Times New Roman"/>
          <w:color w:val="000000"/>
          <w:spacing w:val="0"/>
          <w:w w:val="100"/>
          <w:position w:val="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xxvii. </w:t>
      </w:r>
      <w:r>
        <w:rPr>
          <w:rFonts w:ascii="Times New Roman" w:eastAsia="Times New Roman" w:hAnsi="Times New Roman" w:cs="Times New Roman"/>
          <w:color w:val="000000"/>
          <w:spacing w:val="0"/>
          <w:w w:val="100"/>
          <w:position w:val="0"/>
          <w:shd w:val="clear" w:color="auto" w:fill="auto"/>
          <w:lang w:val="en-US" w:eastAsia="en-US" w:bidi="en-US"/>
        </w:rPr>
        <w:t xml:space="preserve">8 seq.),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new defeat of Amalek, ascribed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David, proves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more successful undertaking than that which </w:t>
      </w:r>
      <w:r>
        <w:rPr>
          <w:rFonts w:ascii="Times New Roman" w:eastAsia="Times New Roman" w:hAnsi="Times New Roman" w:cs="Times New Roman"/>
          <w:color w:val="000000"/>
          <w:spacing w:val="0"/>
          <w:w w:val="100"/>
          <w:position w:val="0"/>
          <w:shd w:val="clear" w:color="auto" w:fill="auto"/>
          <w:lang w:val="en-US" w:eastAsia="en-US" w:bidi="en-US"/>
        </w:rPr>
        <w:t xml:space="preserve">led to </w:t>
      </w:r>
      <w:r>
        <w:rPr>
          <w:rFonts w:ascii="Times New Roman" w:eastAsia="Times New Roman" w:hAnsi="Times New Roman" w:cs="Times New Roman"/>
          <w:color w:val="000000"/>
          <w:spacing w:val="0"/>
          <w:w w:val="100"/>
          <w:position w:val="0"/>
          <w:shd w:val="clear" w:color="auto" w:fill="auto"/>
          <w:lang w:val="en-US" w:eastAsia="en-US" w:bidi="en-US"/>
        </w:rPr>
        <w:t xml:space="preserve">the rejection of Saul </w:t>
      </w:r>
      <w:r>
        <w:rPr>
          <w:rFonts w:ascii="Times New Roman" w:eastAsia="Times New Roman" w:hAnsi="Times New Roman" w:cs="Times New Roman"/>
          <w:color w:val="000000"/>
          <w:spacing w:val="0"/>
          <w:w w:val="100"/>
          <w:position w:val="0"/>
          <w:shd w:val="clear" w:color="auto" w:fill="auto"/>
          <w:lang w:val="en-US" w:eastAsia="en-US" w:bidi="en-US"/>
        </w:rPr>
        <w:t xml:space="preserve">(xv. 20 </w:t>
      </w:r>
      <w:r>
        <w:rPr>
          <w:rFonts w:ascii="Times New Roman" w:eastAsia="Times New Roman" w:hAnsi="Times New Roman" w:cs="Times New Roman"/>
          <w:color w:val="000000"/>
          <w:spacing w:val="0"/>
          <w:w w:val="100"/>
          <w:position w:val="0"/>
          <w:shd w:val="clear" w:color="auto" w:fill="auto"/>
          <w:lang w:val="en-US" w:eastAsia="en-US" w:bidi="en-US"/>
        </w:rPr>
        <w:t xml:space="preserve">seq. </w:t>
      </w:r>
      <w:r>
        <w:rPr>
          <w:rFonts w:ascii="Times New Roman" w:eastAsia="Times New Roman" w:hAnsi="Times New Roman" w:cs="Times New Roman"/>
          <w:color w:val="000000"/>
          <w:spacing w:val="0"/>
          <w:w w:val="100"/>
          <w:position w:val="0"/>
          <w:shd w:val="clear" w:color="auto" w:fill="auto"/>
          <w:lang w:val="en-US" w:eastAsia="en-US" w:bidi="en-US"/>
        </w:rPr>
        <w:t xml:space="preserve">26-28). </w:t>
      </w:r>
      <w:r>
        <w:rPr>
          <w:rFonts w:ascii="Times New Roman" w:eastAsia="Times New Roman" w:hAnsi="Times New Roman" w:cs="Times New Roman"/>
          <w:color w:val="000000"/>
          <w:spacing w:val="0"/>
          <w:w w:val="100"/>
          <w:position w:val="0"/>
          <w:shd w:val="clear" w:color="auto" w:fill="auto"/>
          <w:lang w:val="en-US" w:eastAsia="en-US" w:bidi="en-US"/>
        </w:rPr>
        <w:t xml:space="preserve">Similarly, Saul’s disaster leaves Israel </w:t>
      </w:r>
      <w:r>
        <w:rPr>
          <w:rFonts w:ascii="Times New Roman" w:eastAsia="Times New Roman" w:hAnsi="Times New Roman" w:cs="Times New Roman"/>
          <w:color w:val="000000"/>
          <w:spacing w:val="0"/>
          <w:w w:val="100"/>
          <w:position w:val="0"/>
          <w:shd w:val="clear" w:color="auto" w:fill="auto"/>
          <w:lang w:val="en-US" w:eastAsia="en-US" w:bidi="en-US"/>
        </w:rPr>
        <w:t xml:space="preserve">again in </w:t>
      </w:r>
      <w:r>
        <w:rPr>
          <w:rFonts w:ascii="Times New Roman" w:eastAsia="Times New Roman" w:hAnsi="Times New Roman" w:cs="Times New Roman"/>
          <w:color w:val="000000"/>
          <w:spacing w:val="0"/>
          <w:w w:val="100"/>
          <w:position w:val="0"/>
          <w:shd w:val="clear" w:color="auto" w:fill="auto"/>
          <w:lang w:val="en-US" w:eastAsia="en-US" w:bidi="en-US"/>
        </w:rPr>
        <w:t xml:space="preserve">the hands of the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Philis- tines ” (xxxi. </w:t>
      </w:r>
      <w:r>
        <w:rPr>
          <w:rFonts w:ascii="Times New Roman" w:eastAsia="Times New Roman" w:hAnsi="Times New Roman" w:cs="Times New Roman"/>
          <w:color w:val="000000"/>
          <w:spacing w:val="0"/>
          <w:w w:val="100"/>
          <w:position w:val="0"/>
          <w:shd w:val="clear" w:color="auto" w:fill="auto"/>
          <w:lang w:val="en-US" w:eastAsia="en-US" w:bidi="en-US"/>
        </w:rPr>
        <w:t xml:space="preserve">7, cf. </w:t>
      </w:r>
      <w:r>
        <w:rPr>
          <w:rFonts w:ascii="Times New Roman" w:eastAsia="Times New Roman" w:hAnsi="Times New Roman" w:cs="Times New Roman"/>
          <w:color w:val="000000"/>
          <w:spacing w:val="0"/>
          <w:w w:val="100"/>
          <w:position w:val="0"/>
          <w:shd w:val="clear" w:color="auto" w:fill="auto"/>
          <w:lang w:val="en-US" w:eastAsia="en-US" w:bidi="en-US"/>
        </w:rPr>
        <w:t xml:space="preserve">xiii. 6 </w:t>
      </w:r>
      <w:r>
        <w:rPr>
          <w:rFonts w:ascii="Times New Roman" w:eastAsia="Times New Roman" w:hAnsi="Times New Roman" w:cs="Times New Roman"/>
          <w:color w:val="000000"/>
          <w:spacing w:val="0"/>
          <w:w w:val="100"/>
          <w:position w:val="0"/>
          <w:shd w:val="clear" w:color="auto" w:fill="auto"/>
          <w:lang w:val="en-US" w:eastAsia="en-US" w:bidi="en-US"/>
        </w:rPr>
        <w:t xml:space="preserve">seq.), and it </w:t>
      </w:r>
      <w:r>
        <w:rPr>
          <w:rFonts w:ascii="Times New Roman" w:eastAsia="Times New Roman" w:hAnsi="Times New Roman" w:cs="Times New Roman"/>
          <w:color w:val="000000"/>
          <w:spacing w:val="0"/>
          <w:w w:val="100"/>
          <w:position w:val="0"/>
          <w:shd w:val="clear" w:color="auto" w:fill="auto"/>
          <w:lang w:val="en-US" w:eastAsia="en-US" w:bidi="en-US"/>
        </w:rPr>
        <w:t xml:space="preserve">is for David to </w:t>
      </w:r>
      <w:r>
        <w:rPr>
          <w:rFonts w:ascii="Times New Roman" w:eastAsia="Times New Roman" w:hAnsi="Times New Roman" w:cs="Times New Roman"/>
          <w:color w:val="000000"/>
          <w:spacing w:val="0"/>
          <w:w w:val="100"/>
          <w:position w:val="0"/>
          <w:shd w:val="clear" w:color="auto" w:fill="auto"/>
          <w:lang w:val="en-US" w:eastAsia="en-US" w:bidi="en-US"/>
        </w:rPr>
        <w:t xml:space="preserve">save </w:t>
      </w:r>
      <w:r>
        <w:rPr>
          <w:rFonts w:ascii="Times New Roman" w:eastAsia="Times New Roman" w:hAnsi="Times New Roman" w:cs="Times New Roman"/>
          <w:color w:val="000000"/>
          <w:spacing w:val="0"/>
          <w:w w:val="100"/>
          <w:position w:val="0"/>
          <w:shd w:val="clear" w:color="auto" w:fill="auto"/>
          <w:lang w:val="en-US" w:eastAsia="en-US" w:bidi="en-US"/>
        </w:rPr>
        <w:t xml:space="preserve">the people of Israel out of their hands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Sam. iii. 18, </w:t>
      </w:r>
      <w:r>
        <w:rPr>
          <w:rFonts w:ascii="Times New Roman" w:eastAsia="Times New Roman" w:hAnsi="Times New Roman" w:cs="Times New Roman"/>
          <w:color w:val="000000"/>
          <w:spacing w:val="0"/>
          <w:w w:val="100"/>
          <w:position w:val="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1 Sam. ix. </w:t>
      </w:r>
      <w:r>
        <w:rPr>
          <w:rFonts w:ascii="Times New Roman" w:eastAsia="Times New Roman" w:hAnsi="Times New Roman" w:cs="Times New Roman"/>
          <w:color w:val="000000"/>
          <w:spacing w:val="0"/>
          <w:w w:val="100"/>
          <w:position w:val="0"/>
          <w:shd w:val="clear" w:color="auto" w:fill="auto"/>
          <w:lang w:val="en-US" w:eastAsia="en-US" w:bidi="en-US"/>
        </w:rPr>
        <w:t>16).@@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sequel </w:t>
      </w:r>
      <w:r>
        <w:rPr>
          <w:rFonts w:ascii="Times New Roman" w:eastAsia="Times New Roman" w:hAnsi="Times New Roman" w:cs="Times New Roman"/>
          <w:color w:val="000000"/>
          <w:spacing w:val="0"/>
          <w:w w:val="100"/>
          <w:position w:val="0"/>
          <w:shd w:val="clear" w:color="auto" w:fill="auto"/>
          <w:lang w:val="en-US" w:eastAsia="en-US" w:bidi="en-US"/>
        </w:rPr>
        <w:t xml:space="preserve">to the joint history has another version of </w:t>
      </w:r>
      <w:r>
        <w:rPr>
          <w:rFonts w:ascii="Times New Roman" w:eastAsia="Times New Roman" w:hAnsi="Times New Roman" w:cs="Times New Roman"/>
          <w:color w:val="000000"/>
          <w:spacing w:val="0"/>
          <w:w w:val="100"/>
          <w:position w:val="0"/>
          <w:shd w:val="clear" w:color="auto" w:fill="auto"/>
          <w:lang w:val="en-US" w:eastAsia="en-US" w:bidi="en-US"/>
        </w:rPr>
        <w:t xml:space="preserve">Saul’s </w:t>
      </w:r>
      <w:r>
        <w:rPr>
          <w:rFonts w:ascii="Times New Roman" w:eastAsia="Times New Roman" w:hAnsi="Times New Roman" w:cs="Times New Roman"/>
          <w:color w:val="000000"/>
          <w:spacing w:val="0"/>
          <w:w w:val="100"/>
          <w:position w:val="0"/>
          <w:shd w:val="clear" w:color="auto" w:fill="auto"/>
          <w:lang w:val="en-US" w:eastAsia="en-US" w:bidi="en-US"/>
        </w:rPr>
        <w:t xml:space="preserve">death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Sam. i. 6-10, </w:t>
      </w:r>
      <w:r>
        <w:rPr>
          <w:rFonts w:ascii="Times New Roman" w:eastAsia="Times New Roman" w:hAnsi="Times New Roman" w:cs="Times New Roman"/>
          <w:color w:val="000000"/>
          <w:spacing w:val="0"/>
          <w:w w:val="100"/>
          <w:position w:val="0"/>
          <w:shd w:val="clear" w:color="auto" w:fill="auto"/>
          <w:lang w:val="en-US" w:eastAsia="en-US" w:bidi="en-US"/>
        </w:rPr>
        <w:t xml:space="preserve">13-16), and an </w:t>
      </w:r>
      <w:r>
        <w:rPr>
          <w:rFonts w:ascii="Times New Roman" w:eastAsia="Times New Roman" w:hAnsi="Times New Roman" w:cs="Times New Roman"/>
          <w:color w:val="000000"/>
          <w:spacing w:val="0"/>
          <w:w w:val="100"/>
          <w:position w:val="0"/>
          <w:shd w:val="clear" w:color="auto" w:fill="auto"/>
          <w:lang w:val="en-US" w:eastAsia="en-US" w:bidi="en-US"/>
        </w:rPr>
        <w:t xml:space="preserve">Amalekite is the offender; contrast his death </w:t>
      </w:r>
      <w:r>
        <w:rPr>
          <w:rFonts w:ascii="Times New Roman" w:eastAsia="Times New Roman" w:hAnsi="Times New Roman" w:cs="Times New Roman"/>
          <w:color w:val="000000"/>
          <w:spacing w:val="0"/>
          <w:w w:val="100"/>
          <w:position w:val="0"/>
          <w:shd w:val="clear" w:color="auto" w:fill="auto"/>
          <w:lang w:val="en-US" w:eastAsia="en-US" w:bidi="en-US"/>
        </w:rPr>
        <w:t xml:space="preserve">in i. 15 seq. </w:t>
      </w:r>
      <w:r>
        <w:rPr>
          <w:rFonts w:ascii="Times New Roman" w:eastAsia="Times New Roman" w:hAnsi="Times New Roman" w:cs="Times New Roman"/>
          <w:color w:val="000000"/>
          <w:spacing w:val="0"/>
          <w:w w:val="100"/>
          <w:position w:val="0"/>
          <w:shd w:val="clear" w:color="auto" w:fill="auto"/>
          <w:lang w:val="en-US" w:eastAsia="en-US" w:bidi="en-US"/>
        </w:rPr>
        <w:t xml:space="preserve">with iv. 10 seq. The chapter </w:t>
      </w:r>
      <w:r>
        <w:rPr>
          <w:rFonts w:ascii="Times New Roman" w:eastAsia="Times New Roman" w:hAnsi="Times New Roman" w:cs="Times New Roman"/>
          <w:color w:val="000000"/>
          <w:spacing w:val="0"/>
          <w:w w:val="100"/>
          <w:position w:val="0"/>
          <w:shd w:val="clear" w:color="auto" w:fill="auto"/>
          <w:lang w:val="en-US" w:eastAsia="en-US" w:bidi="en-US"/>
        </w:rPr>
        <w:t xml:space="preserve">explains the </w:t>
      </w:r>
      <w:r>
        <w:rPr>
          <w:rFonts w:ascii="Times New Roman" w:eastAsia="Times New Roman" w:hAnsi="Times New Roman" w:cs="Times New Roman"/>
          <w:color w:val="000000"/>
          <w:spacing w:val="0"/>
          <w:w w:val="100"/>
          <w:position w:val="0"/>
          <w:shd w:val="clear" w:color="auto" w:fill="auto"/>
          <w:lang w:val="en-US" w:eastAsia="en-US" w:bidi="en-US"/>
        </w:rPr>
        <w:t xml:space="preserve">transference of the royal insignia from Israel to Judah. Here is quoted </w:t>
      </w:r>
      <w:r>
        <w:rPr>
          <w:rFonts w:ascii="Times New Roman" w:eastAsia="Times New Roman" w:hAnsi="Times New Roman" w:cs="Times New Roman"/>
          <w:color w:val="000000"/>
          <w:spacing w:val="0"/>
          <w:w w:val="100"/>
          <w:position w:val="0"/>
          <w:shd w:val="clear" w:color="auto" w:fill="auto"/>
          <w:lang w:val="en-US" w:eastAsia="en-US" w:bidi="en-US"/>
        </w:rPr>
        <w:t xml:space="preserve">(from the “ </w:t>
      </w:r>
      <w:r>
        <w:rPr>
          <w:rFonts w:ascii="Times New Roman" w:eastAsia="Times New Roman" w:hAnsi="Times New Roman" w:cs="Times New Roman"/>
          <w:color w:val="000000"/>
          <w:spacing w:val="0"/>
          <w:w w:val="100"/>
          <w:position w:val="0"/>
          <w:shd w:val="clear" w:color="auto" w:fill="auto"/>
          <w:lang w:val="en-US" w:eastAsia="en-US" w:bidi="en-US"/>
        </w:rPr>
        <w:t xml:space="preserve">Book of Jashar ”) the old </w:t>
      </w:r>
      <w:r>
        <w:rPr>
          <w:rFonts w:ascii="Times New Roman" w:eastAsia="Times New Roman" w:hAnsi="Times New Roman" w:cs="Times New Roman"/>
          <w:color w:val="000000"/>
          <w:spacing w:val="0"/>
          <w:w w:val="100"/>
          <w:position w:val="0"/>
          <w:shd w:val="clear" w:color="auto" w:fill="auto"/>
          <w:lang w:val="en-US" w:eastAsia="en-US" w:bidi="en-US"/>
        </w:rPr>
        <w:t xml:space="preserve">poetical </w:t>
      </w:r>
      <w:r>
        <w:rPr>
          <w:rFonts w:ascii="Times New Roman" w:eastAsia="Times New Roman" w:hAnsi="Times New Roman" w:cs="Times New Roman"/>
          <w:color w:val="000000"/>
          <w:spacing w:val="0"/>
          <w:w w:val="100"/>
          <w:position w:val="0"/>
          <w:shd w:val="clear" w:color="auto" w:fill="auto"/>
          <w:lang w:val="en-US" w:eastAsia="en-US" w:bidi="en-US"/>
        </w:rPr>
        <w:t xml:space="preserve">lament over the death of the valiant </w:t>
      </w:r>
      <w:r>
        <w:rPr>
          <w:rFonts w:ascii="Times New Roman" w:eastAsia="Times New Roman" w:hAnsi="Times New Roman" w:cs="Times New Roman"/>
          <w:color w:val="000000"/>
          <w:spacing w:val="0"/>
          <w:w w:val="100"/>
          <w:position w:val="0"/>
          <w:shd w:val="clear" w:color="auto" w:fill="auto"/>
          <w:lang w:val="en-US" w:eastAsia="en-US" w:bidi="en-US"/>
        </w:rPr>
        <w:t xml:space="preserve">friends Saul and </w:t>
      </w:r>
      <w:r>
        <w:rPr>
          <w:rFonts w:ascii="Times New Roman" w:eastAsia="Times New Roman" w:hAnsi="Times New Roman" w:cs="Times New Roman"/>
          <w:color w:val="000000"/>
          <w:spacing w:val="0"/>
          <w:w w:val="100"/>
          <w:position w:val="0"/>
          <w:shd w:val="clear" w:color="auto" w:fill="auto"/>
          <w:lang w:val="en-US" w:eastAsia="en-US" w:bidi="en-US"/>
        </w:rPr>
        <w:t xml:space="preserve">Jonathan, </w:t>
      </w:r>
      <w:r>
        <w:rPr>
          <w:rFonts w:ascii="Times New Roman" w:eastAsia="Times New Roman" w:hAnsi="Times New Roman" w:cs="Times New Roman"/>
          <w:color w:val="000000"/>
          <w:spacing w:val="0"/>
          <w:w w:val="100"/>
          <w:position w:val="0"/>
          <w:shd w:val="clear" w:color="auto" w:fill="auto"/>
          <w:lang w:val="en-US" w:eastAsia="en-US" w:bidi="en-US"/>
        </w:rPr>
        <w:t xml:space="preserve">describing </w:t>
      </w:r>
      <w:r>
        <w:rPr>
          <w:rFonts w:ascii="Times New Roman" w:eastAsia="Times New Roman" w:hAnsi="Times New Roman" w:cs="Times New Roman"/>
          <w:color w:val="000000"/>
          <w:spacing w:val="0"/>
          <w:w w:val="100"/>
          <w:position w:val="0"/>
          <w:shd w:val="clear" w:color="auto" w:fill="auto"/>
          <w:lang w:val="en-US" w:eastAsia="en-US" w:bidi="en-US"/>
        </w:rPr>
        <w:t xml:space="preserve">their successful warlike career, </w:t>
      </w:r>
      <w:r>
        <w:rPr>
          <w:rFonts w:ascii="Times New Roman" w:eastAsia="Times New Roman" w:hAnsi="Times New Roman" w:cs="Times New Roman"/>
          <w:color w:val="000000"/>
          <w:spacing w:val="0"/>
          <w:w w:val="100"/>
          <w:position w:val="0"/>
          <w:shd w:val="clear" w:color="auto" w:fill="auto"/>
          <w:lang w:val="en-US" w:eastAsia="en-US" w:bidi="en-US"/>
        </w:rPr>
        <w:t xml:space="preserve">the wealth they </w:t>
      </w:r>
      <w:r>
        <w:rPr>
          <w:rFonts w:ascii="Times New Roman" w:eastAsia="Times New Roman" w:hAnsi="Times New Roman" w:cs="Times New Roman"/>
          <w:color w:val="000000"/>
          <w:spacing w:val="0"/>
          <w:w w:val="100"/>
          <w:position w:val="0"/>
          <w:shd w:val="clear" w:color="auto" w:fill="auto"/>
          <w:lang w:val="en-US" w:eastAsia="en-US" w:bidi="en-US"/>
        </w:rPr>
        <w:t xml:space="preserve">brought </w:t>
      </w:r>
      <w:r>
        <w:rPr>
          <w:rFonts w:ascii="Times New Roman" w:eastAsia="Times New Roman" w:hAnsi="Times New Roman" w:cs="Times New Roman"/>
          <w:color w:val="000000"/>
          <w:spacing w:val="0"/>
          <w:w w:val="100"/>
          <w:position w:val="0"/>
          <w:shd w:val="clear" w:color="auto" w:fill="auto"/>
          <w:lang w:val="en-US" w:eastAsia="en-US" w:bidi="en-US"/>
        </w:rPr>
        <w:t xml:space="preserve">the people, </w:t>
      </w:r>
      <w:r>
        <w:rPr>
          <w:rFonts w:ascii="Times New Roman" w:eastAsia="Times New Roman" w:hAnsi="Times New Roman" w:cs="Times New Roman"/>
          <w:color w:val="000000"/>
          <w:spacing w:val="0"/>
          <w:w w:val="100"/>
          <w:position w:val="0"/>
          <w:shd w:val="clear" w:color="auto" w:fill="auto"/>
          <w:lang w:val="en-US" w:eastAsia="en-US" w:bidi="en-US"/>
        </w:rPr>
        <w:t xml:space="preserve">and the vivid sense of national </w:t>
      </w:r>
      <w:r>
        <w:rPr>
          <w:rFonts w:ascii="Times New Roman" w:eastAsia="Times New Roman" w:hAnsi="Times New Roman" w:cs="Times New Roman"/>
          <w:color w:val="000000"/>
          <w:spacing w:val="0"/>
          <w:w w:val="100"/>
          <w:position w:val="0"/>
          <w:shd w:val="clear" w:color="auto" w:fill="auto"/>
          <w:lang w:val="en-US" w:eastAsia="en-US" w:bidi="en-US"/>
        </w:rPr>
        <w:t xml:space="preserve">misfortune (i. 19-27).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utilized for the history of David, to </w:t>
      </w:r>
      <w:r>
        <w:rPr>
          <w:rFonts w:ascii="Times New Roman" w:eastAsia="Times New Roman" w:hAnsi="Times New Roman" w:cs="Times New Roman"/>
          <w:color w:val="000000"/>
          <w:spacing w:val="0"/>
          <w:w w:val="100"/>
          <w:position w:val="0"/>
          <w:shd w:val="clear" w:color="auto" w:fill="auto"/>
          <w:lang w:val="en-US" w:eastAsia="en-US" w:bidi="en-US"/>
        </w:rPr>
        <w:t xml:space="preserve">whom its </w:t>
      </w:r>
      <w:r>
        <w:rPr>
          <w:rFonts w:ascii="Times New Roman" w:eastAsia="Times New Roman" w:hAnsi="Times New Roman" w:cs="Times New Roman"/>
          <w:color w:val="000000"/>
          <w:spacing w:val="0"/>
          <w:w w:val="100"/>
          <w:position w:val="0"/>
          <w:shd w:val="clear" w:color="auto" w:fill="auto"/>
          <w:lang w:val="en-US" w:eastAsia="en-US" w:bidi="en-US"/>
        </w:rPr>
        <w:t xml:space="preserve">authorship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attributed. In general, it appears that </w:t>
      </w:r>
      <w:r>
        <w:rPr>
          <w:rFonts w:ascii="Times New Roman" w:eastAsia="Times New Roman" w:hAnsi="Times New Roman" w:cs="Times New Roman"/>
          <w:color w:val="000000"/>
          <w:spacing w:val="0"/>
          <w:w w:val="100"/>
          <w:position w:val="0"/>
          <w:shd w:val="clear" w:color="auto" w:fill="auto"/>
          <w:lang w:val="en-US" w:eastAsia="en-US" w:bidi="en-US"/>
        </w:rPr>
        <w:t xml:space="preserve">those </w:t>
      </w:r>
      <w:r>
        <w:rPr>
          <w:rFonts w:ascii="Times New Roman" w:eastAsia="Times New Roman" w:hAnsi="Times New Roman" w:cs="Times New Roman"/>
          <w:color w:val="000000"/>
          <w:spacing w:val="0"/>
          <w:w w:val="100"/>
          <w:position w:val="0"/>
          <w:shd w:val="clear" w:color="auto" w:fill="auto"/>
          <w:lang w:val="en-US" w:eastAsia="en-US" w:bidi="en-US"/>
        </w:rPr>
        <w:t>narratives wherein the histories of Saul and* David are combined</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very much in the favour of the latter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originally distinct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those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Saul’s figure is more in accord </w:t>
      </w:r>
      <w:r>
        <w:rPr>
          <w:rFonts w:ascii="Times New Roman" w:eastAsia="Times New Roman" w:hAnsi="Times New Roman" w:cs="Times New Roman"/>
          <w:color w:val="000000"/>
          <w:spacing w:val="0"/>
          <w:w w:val="100"/>
          <w:position w:val="0"/>
          <w:shd w:val="clear" w:color="auto" w:fill="auto"/>
          <w:lang w:val="en-US" w:eastAsia="en-US" w:bidi="en-US"/>
        </w:rPr>
        <w:t xml:space="preserve">with the old poem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Jashar, and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 xml:space="preserve">David’s victories over </w:t>
      </w:r>
      <w:r>
        <w:rPr>
          <w:rFonts w:ascii="Times New Roman" w:eastAsia="Times New Roman" w:hAnsi="Times New Roman" w:cs="Times New Roman"/>
          <w:color w:val="000000"/>
          <w:spacing w:val="0"/>
          <w:w w:val="100"/>
          <w:position w:val="0"/>
          <w:shd w:val="clear" w:color="auto" w:fill="auto"/>
          <w:lang w:val="en-US" w:eastAsia="en-US" w:bidi="en-US"/>
        </w:rPr>
        <w:t xml:space="preserve">prehistoric </w:t>
      </w:r>
      <w:r>
        <w:rPr>
          <w:rFonts w:ascii="Times New Roman" w:eastAsia="Times New Roman" w:hAnsi="Times New Roman" w:cs="Times New Roman"/>
          <w:color w:val="000000"/>
          <w:spacing w:val="0"/>
          <w:w w:val="100"/>
          <w:position w:val="0"/>
          <w:shd w:val="clear" w:color="auto" w:fill="auto"/>
          <w:lang w:val="en-US" w:eastAsia="en-US" w:bidi="en-US"/>
        </w:rPr>
        <w:t xml:space="preserve">giants </w:t>
      </w:r>
      <w:r>
        <w:rPr>
          <w:rFonts w:ascii="Times New Roman" w:eastAsia="Times New Roman" w:hAnsi="Times New Roman" w:cs="Times New Roman"/>
          <w:color w:val="000000"/>
          <w:spacing w:val="0"/>
          <w:w w:val="100"/>
          <w:position w:val="0"/>
          <w:shd w:val="clear" w:color="auto" w:fill="auto"/>
          <w:lang w:val="en-US" w:eastAsia="en-US" w:bidi="en-US"/>
        </w:rPr>
        <w:t>and his war</w:t>
        <w:softHyphen/>
        <w:t xml:space="preserve">like movements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Jerusalem pave the </w:t>
      </w:r>
      <w:r>
        <w:rPr>
          <w:rFonts w:ascii="Times New Roman" w:eastAsia="Times New Roman" w:hAnsi="Times New Roman" w:cs="Times New Roman"/>
          <w:color w:val="000000"/>
          <w:spacing w:val="0"/>
          <w:w w:val="100"/>
          <w:position w:val="0"/>
          <w:shd w:val="clear" w:color="auto" w:fill="auto"/>
          <w:lang w:val="en-US" w:eastAsia="en-US" w:bidi="en-US"/>
        </w:rPr>
        <w:t xml:space="preserve">way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foundation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from a particular Judaean standpoint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of his remarkably long dynasty.</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literary problems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books oí </w:t>
      </w:r>
      <w:r>
        <w:rPr>
          <w:rFonts w:ascii="Times New Roman" w:eastAsia="Times New Roman" w:hAnsi="Times New Roman" w:cs="Times New Roman"/>
          <w:color w:val="000000"/>
          <w:spacing w:val="0"/>
          <w:w w:val="100"/>
          <w:position w:val="0"/>
          <w:shd w:val="clear" w:color="auto" w:fill="auto"/>
          <w:lang w:val="en-US" w:eastAsia="en-US" w:bidi="en-US"/>
        </w:rPr>
        <w:t xml:space="preserve">Samuel are those of the writing of the </w:t>
      </w:r>
      <w:r>
        <w:rPr>
          <w:rFonts w:ascii="Times New Roman" w:eastAsia="Times New Roman" w:hAnsi="Times New Roman" w:cs="Times New Roman"/>
          <w:color w:val="000000"/>
          <w:spacing w:val="0"/>
          <w:w w:val="100"/>
          <w:position w:val="0"/>
          <w:shd w:val="clear" w:color="auto" w:fill="auto"/>
          <w:lang w:val="en-US" w:eastAsia="en-US" w:bidi="en-US"/>
        </w:rPr>
        <w:t xml:space="preserve">history of the monarchies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points of </w:t>
      </w:r>
      <w:r>
        <w:rPr>
          <w:rFonts w:ascii="Times New Roman" w:eastAsia="Times New Roman" w:hAnsi="Times New Roman" w:cs="Times New Roman"/>
          <w:color w:val="000000"/>
          <w:spacing w:val="0"/>
          <w:w w:val="100"/>
          <w:position w:val="0"/>
          <w:shd w:val="clear" w:color="auto" w:fill="auto"/>
          <w:lang w:val="en-US" w:eastAsia="en-US" w:bidi="en-US"/>
        </w:rPr>
        <w:t xml:space="preserve">view; and the </w:t>
      </w:r>
      <w:r>
        <w:rPr>
          <w:rFonts w:ascii="Times New Roman" w:eastAsia="Times New Roman" w:hAnsi="Times New Roman" w:cs="Times New Roman"/>
          <w:color w:val="000000"/>
          <w:spacing w:val="0"/>
          <w:w w:val="100"/>
          <w:position w:val="0"/>
          <w:shd w:val="clear" w:color="auto" w:fill="auto"/>
          <w:lang w:val="en-US" w:eastAsia="en-US" w:bidi="en-US"/>
        </w:rPr>
        <w:t xml:space="preserve">intimate </w:t>
      </w:r>
      <w:r>
        <w:rPr>
          <w:rFonts w:ascii="Times New Roman" w:eastAsia="Times New Roman" w:hAnsi="Times New Roman" w:cs="Times New Roman"/>
          <w:color w:val="000000"/>
          <w:spacing w:val="0"/>
          <w:w w:val="100"/>
          <w:position w:val="0"/>
          <w:shd w:val="clear" w:color="auto" w:fill="auto"/>
          <w:lang w:val="en-US" w:eastAsia="en-US" w:bidi="en-US"/>
        </w:rPr>
        <w:t xml:space="preserve">connexion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books with </w:t>
      </w:r>
      <w:r>
        <w:rPr>
          <w:rFonts w:ascii="Times New Roman" w:eastAsia="Times New Roman" w:hAnsi="Times New Roman" w:cs="Times New Roman"/>
          <w:color w:val="000000"/>
          <w:spacing w:val="0"/>
          <w:w w:val="100"/>
          <w:position w:val="0"/>
          <w:shd w:val="clear" w:color="auto" w:fill="auto"/>
          <w:lang w:val="en-US" w:eastAsia="en-US" w:bidi="en-US"/>
        </w:rPr>
        <w:t xml:space="preserve">those that precede and follow shows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careful con</w:t>
      </w:r>
      <w:r>
        <w:rPr>
          <w:rFonts w:ascii="Times New Roman" w:eastAsia="Times New Roman" w:hAnsi="Times New Roman" w:cs="Times New Roman"/>
          <w:color w:val="000000"/>
          <w:spacing w:val="0"/>
          <w:w w:val="100"/>
          <w:position w:val="0"/>
          <w:shd w:val="clear" w:color="auto" w:fill="auto"/>
          <w:lang w:val="en-US" w:eastAsia="en-US" w:bidi="en-US"/>
        </w:rPr>
        <w:t xml:space="preserve">sideration of the internal literary and historical </w:t>
      </w:r>
      <w:r>
        <w:rPr>
          <w:rFonts w:ascii="Times New Roman" w:eastAsia="Times New Roman" w:hAnsi="Times New Roman" w:cs="Times New Roman"/>
          <w:color w:val="000000"/>
          <w:spacing w:val="0"/>
          <w:w w:val="100"/>
          <w:position w:val="0"/>
          <w:shd w:val="clear" w:color="auto" w:fill="auto"/>
          <w:lang w:val="en-US" w:eastAsia="en-US" w:bidi="en-US"/>
        </w:rPr>
        <w:t xml:space="preserve">features of </w:t>
      </w:r>
      <w:r>
        <w:rPr>
          <w:rFonts w:ascii="Times New Roman" w:eastAsia="Times New Roman" w:hAnsi="Times New Roman" w:cs="Times New Roman"/>
          <w:color w:val="000000"/>
          <w:spacing w:val="0"/>
          <w:w w:val="100"/>
          <w:position w:val="0"/>
          <w:shd w:val="clear" w:color="auto" w:fill="auto"/>
          <w:lang w:val="en-US" w:eastAsia="en-US" w:bidi="en-US"/>
        </w:rPr>
        <w:t xml:space="preserve">these also is necessary. The first step is </w:t>
      </w:r>
      <w:r>
        <w:rPr>
          <w:rFonts w:ascii="Times New Roman" w:eastAsia="Times New Roman" w:hAnsi="Times New Roman" w:cs="Times New Roman"/>
          <w:color w:val="000000"/>
          <w:spacing w:val="0"/>
          <w:w w:val="100"/>
          <w:position w:val="0"/>
          <w:shd w:val="clear" w:color="auto" w:fill="auto"/>
          <w:lang w:val="en-US" w:eastAsia="en-US" w:bidi="en-US"/>
        </w:rPr>
        <w:t xml:space="preserve">the recognition </w:t>
      </w:r>
      <w:r>
        <w:rPr>
          <w:rFonts w:ascii="Times New Roman" w:eastAsia="Times New Roman" w:hAnsi="Times New Roman" w:cs="Times New Roman"/>
          <w:color w:val="000000"/>
          <w:spacing w:val="0"/>
          <w:w w:val="100"/>
          <w:position w:val="0"/>
          <w:shd w:val="clear" w:color="auto" w:fill="auto"/>
          <w:lang w:val="en-US" w:eastAsia="en-US" w:bidi="en-US"/>
        </w:rPr>
        <w:t xml:space="preserve">of a specific Deuteronomíc redaction in Joshua—Kings, </w:t>
      </w:r>
      <w:r>
        <w:rPr>
          <w:rFonts w:ascii="Times New Roman" w:eastAsia="Times New Roman" w:hAnsi="Times New Roman" w:cs="Times New Roman"/>
          <w:color w:val="000000"/>
          <w:spacing w:val="0"/>
          <w:w w:val="100"/>
          <w:position w:val="0"/>
          <w:shd w:val="clear" w:color="auto" w:fill="auto"/>
          <w:lang w:val="en-US" w:eastAsia="en-US" w:bidi="en-US"/>
        </w:rPr>
        <w:t xml:space="preserve">an intricate </w:t>
      </w:r>
      <w:r>
        <w:rPr>
          <w:rFonts w:ascii="Times New Roman" w:eastAsia="Times New Roman" w:hAnsi="Times New Roman" w:cs="Times New Roman"/>
          <w:color w:val="000000"/>
          <w:spacing w:val="0"/>
          <w:w w:val="100"/>
          <w:position w:val="0"/>
          <w:shd w:val="clear" w:color="auto" w:fill="auto"/>
          <w:lang w:val="en-US" w:eastAsia="en-US" w:bidi="en-US"/>
        </w:rPr>
        <w:t>process which extended into the post-exilic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Certain phenomena </w:t>
      </w:r>
      <w:r>
        <w:rPr>
          <w:rFonts w:ascii="Times New Roman" w:eastAsia="Times New Roman" w:hAnsi="Times New Roman" w:cs="Times New Roman"/>
          <w:color w:val="000000"/>
          <w:spacing w:val="0"/>
          <w:w w:val="100"/>
          <w:position w:val="0"/>
          <w:shd w:val="clear" w:color="auto" w:fill="auto"/>
          <w:lang w:val="en-US" w:eastAsia="en-US" w:bidi="en-US"/>
        </w:rPr>
        <w:t xml:space="preserve">suggest that the first </w:t>
      </w:r>
      <w:r>
        <w:rPr>
          <w:rFonts w:ascii="Times New Roman" w:eastAsia="Times New Roman" w:hAnsi="Times New Roman" w:cs="Times New Roman"/>
          <w:color w:val="000000"/>
          <w:spacing w:val="0"/>
          <w:w w:val="100"/>
          <w:position w:val="0"/>
          <w:shd w:val="clear" w:color="auto" w:fill="auto"/>
          <w:lang w:val="en-US" w:eastAsia="en-US" w:bidi="en-US"/>
        </w:rPr>
        <w:t xml:space="preserve">compilation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made outside Judah—</w:t>
      </w:r>
      <w:r>
        <w:rPr>
          <w:rFonts w:ascii="Times New Roman" w:eastAsia="Times New Roman" w:hAnsi="Times New Roman" w:cs="Times New Roman"/>
          <w:color w:val="000000"/>
          <w:spacing w:val="0"/>
          <w:w w:val="100"/>
          <w:position w:val="0"/>
          <w:shd w:val="clear" w:color="auto" w:fill="auto"/>
          <w:lang w:val="en-US" w:eastAsia="en-US" w:bidi="en-US"/>
        </w:rPr>
        <w:t xml:space="preserve">in Israel, whereas others represent </w:t>
      </w:r>
      <w:r>
        <w:rPr>
          <w:rFonts w:ascii="Times New Roman" w:eastAsia="Times New Roman" w:hAnsi="Times New Roman" w:cs="Times New Roman"/>
          <w:color w:val="000000"/>
          <w:spacing w:val="0"/>
          <w:w w:val="100"/>
          <w:position w:val="0"/>
          <w:shd w:val="clear" w:color="auto" w:fill="auto"/>
          <w:lang w:val="en-US" w:eastAsia="en-US" w:bidi="en-US"/>
        </w:rPr>
        <w:t xml:space="preserve">a Judaean and </w:t>
      </w:r>
      <w:r>
        <w:rPr>
          <w:rFonts w:ascii="Times New Roman" w:eastAsia="Times New Roman" w:hAnsi="Times New Roman" w:cs="Times New Roman"/>
          <w:color w:val="000000"/>
          <w:spacing w:val="0"/>
          <w:w w:val="100"/>
          <w:position w:val="0"/>
          <w:shd w:val="clear" w:color="auto" w:fill="auto"/>
          <w:lang w:val="en-US" w:eastAsia="en-US" w:bidi="en-US"/>
        </w:rPr>
        <w:t xml:space="preserve">anti-Israelite feeling. The close interconnexion </w:t>
      </w:r>
      <w:r>
        <w:rPr>
          <w:rFonts w:ascii="Times New Roman" w:eastAsia="Times New Roman" w:hAnsi="Times New Roman" w:cs="Times New Roman"/>
          <w:color w:val="000000"/>
          <w:spacing w:val="0"/>
          <w:w w:val="100"/>
          <w:position w:val="0"/>
          <w:shd w:val="clear" w:color="auto" w:fill="auto"/>
          <w:lang w:val="en-US" w:eastAsia="en-US" w:bidi="en-US"/>
        </w:rPr>
        <w:t xml:space="preserve">of Judg. </w:t>
      </w:r>
      <w:r>
        <w:rPr>
          <w:rFonts w:ascii="Times New Roman" w:eastAsia="Times New Roman" w:hAnsi="Times New Roman" w:cs="Times New Roman"/>
          <w:color w:val="000000"/>
          <w:spacing w:val="0"/>
          <w:w w:val="100"/>
          <w:position w:val="0"/>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Sam. xii. </w:t>
      </w:r>
      <w:r>
        <w:rPr>
          <w:rFonts w:ascii="Times New Roman" w:eastAsia="Times New Roman" w:hAnsi="Times New Roman" w:cs="Times New Roman"/>
          <w:color w:val="000000"/>
          <w:spacing w:val="0"/>
          <w:w w:val="100"/>
          <w:position w:val="0"/>
          <w:shd w:val="clear" w:color="auto" w:fill="auto"/>
          <w:lang w:val="en-US" w:eastAsia="en-US" w:bidi="en-US"/>
        </w:rPr>
        <w:t xml:space="preserve">is as crucial as that of 2 Sam. v.-1 Kings ii. </w:t>
      </w:r>
      <w:r>
        <w:rPr>
          <w:rFonts w:ascii="Times New Roman" w:eastAsia="Times New Roman" w:hAnsi="Times New Roman" w:cs="Times New Roman"/>
          <w:color w:val="000000"/>
          <w:spacing w:val="0"/>
          <w:w w:val="100"/>
          <w:position w:val="0"/>
          <w:shd w:val="clear" w:color="auto" w:fill="auto"/>
          <w:lang w:val="en-US" w:eastAsia="en-US" w:bidi="en-US"/>
        </w:rPr>
        <w:t>The (probably</w:t>
      </w:r>
    </w:p>
    <w:p>
      <w:pPr>
        <w:pStyle w:val="Style10"/>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Deuteronomic) framework of Israelite history in Kings can be traced in Samuel, and it is a natural assumption that it should have gone back beyond the time of Jeroboam 1. While the detailed history of Israelite kings and prophets in 1 Kings xvii.-2 Kings x. (Ahab to Jehu) finds more developed parallels in the narratives of Saul and Samuel, the peculiar treatment of the lives of David and Solomon (Judaean kings over a united Israel) and of the division of the monarchy has complicated the present sources. Although the contents of 2 Sam. v.-viii., xxi.-xxiv., 1 Kings ii. 10-12, iii. 2, appear to have been consecutive (in some form) at an earlier stage, the connexion has been broken by ix,-xx., 1 Kings i. ii. 1-9, 13 sqq., and the further vicissitudes can scarcely be recovered ; and while there are clear signs of more than one Deuteronomíc hand in the former group, the latter shows in 1 Kings ii. 2-4 a Deuteronomíc revision, either of independent origin or in the combination of the sources in their present form. Moreover, Samuel’s farewell address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Sam. xii.) belongs to the Deuteronomíc and later account of Saul’s rise, and closes the period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lsraelite “ judges ” (see Judg. ii. 6-iii. 6, an extremely composite passage),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Ammonite and Philistine oppression </w:t>
      </w:r>
      <w:r>
        <w:rPr>
          <w:rFonts w:ascii="Times New Roman" w:eastAsia="Times New Roman" w:hAnsi="Times New Roman" w:cs="Times New Roman"/>
          <w:i/>
          <w:iCs/>
          <w:color w:val="000000"/>
          <w:spacing w:val="0"/>
          <w:w w:val="100"/>
          <w:position w:val="0"/>
          <w:shd w:val="clear" w:color="auto" w:fill="auto"/>
          <w:lang w:val="en-US" w:eastAsia="en-US" w:bidi="en-US"/>
        </w:rPr>
        <w:t>fib.</w:t>
      </w:r>
      <w:r>
        <w:rPr>
          <w:rFonts w:ascii="Times New Roman" w:eastAsia="Times New Roman" w:hAnsi="Times New Roman" w:cs="Times New Roman"/>
          <w:color w:val="000000"/>
          <w:spacing w:val="0"/>
          <w:w w:val="100"/>
          <w:position w:val="0"/>
          <w:shd w:val="clear" w:color="auto" w:fill="auto"/>
          <w:lang w:val="en-US" w:eastAsia="en-US" w:bidi="en-US"/>
        </w:rPr>
        <w:t xml:space="preserve"> x. 6 sqq.).@@</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follows upon Joshua’s two concluding speeches, one given by a Deuteronomíc writer in xxiii., and the other incorporated by another though similar hand in xxiv. Although the pre-monarchical age is viewed as one of kinglike “ judges,” the chiefs are rather local heroes (so Ehud, Gideon, Jephthah), and the boisterous giant Samson (Judg. xiii.- xvi.), and the religious leaders Eli and Samuel are “ judges ” from other standpoints. Perplexity is caused, also, in the oldest account of Saul’s rise (1 Sam. ix.) by the sudden introduction of a Philistine oppression which cannot be connected with vii. 2-viii., or even with 1 Sam. iv.-vii. 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Judg. x. 6 sqq. refers to a Philistine oppression which has no sequel. It may be conjectured that there was an original literary connexion between the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which has been broken by the insertion of traditions relating to Samuel and Saul.@@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This finds support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in the internal evidence for the later addition of Judg. xvii.-xxi., and of certain portions of the opening chapters of 1 Samuel;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in the absence of any continuity in the intervening history;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in the material relation</w:t>
        <w:softHyphen/>
        <w:t xml:space="preserve">ship between portions of the highly composite Judg. x. 6 sqq. and the rise of Saul. The literary processes thus involved find an analogy in the original connexion between 2 Sam. v.-viii. and xxi.-xxiv., or between Exod. xxxiii. seq. and Num. x. 29-36, xi. (see </w:t>
      </w:r>
      <w:r>
        <w:rPr>
          <w:rFonts w:ascii="Times New Roman" w:eastAsia="Times New Roman" w:hAnsi="Times New Roman" w:cs="Times New Roman"/>
          <w:smallCaps/>
          <w:color w:val="000000"/>
          <w:spacing w:val="0"/>
          <w:w w:val="100"/>
          <w:position w:val="0"/>
          <w:shd w:val="clear" w:color="auto" w:fill="auto"/>
          <w:lang w:val="en-US" w:eastAsia="en-US" w:bidi="en-US"/>
        </w:rPr>
        <w:t>Saul).</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section 1 Sam. iv.-vii. 1 forms the prelude to Samuel’s great victory and belongs to the history of Shiloh and the priesthood of Eli. But the fall of this sanctuary scarcely belongs to this remote age (11th century); it was sufficiently recent to serve as a warning to Jerusalem in the time of Jeremiah (close of 7th century). This event of supreme importance to north Israel (cf. Judg. xvifi. 30 seq.) is already connected with Samuel’s prophecy in iii., but the latter is strengthened by the Deuteronomíc passage, ii. 27-36, which links the disaster, not with the history of Samuel, but with the rise of the Zadokite Levites of Jerusalem, and thus represents a specifically Judaean standpoint. This is analogous to the Judaean adaptation of the prophetical treatment of Saul’s life, and it also reflects certain priestly rivalries (see </w:t>
      </w:r>
      <w:r>
        <w:rPr>
          <w:rFonts w:ascii="Times New Roman" w:eastAsia="Times New Roman" w:hAnsi="Times New Roman" w:cs="Times New Roman"/>
          <w:smallCaps/>
          <w:color w:val="000000"/>
          <w:spacing w:val="0"/>
          <w:w w:val="100"/>
          <w:position w:val="0"/>
          <w:shd w:val="clear" w:color="auto" w:fill="auto"/>
          <w:lang w:val="en-US" w:eastAsia="en-US" w:bidi="en-US"/>
        </w:rPr>
        <w:t>Levites).</w:t>
      </w:r>
      <w:r>
        <w:rPr>
          <w:rFonts w:ascii="Times New Roman" w:eastAsia="Times New Roman" w:hAnsi="Times New Roman" w:cs="Times New Roman"/>
          <w:color w:val="000000"/>
          <w:spacing w:val="0"/>
          <w:w w:val="100"/>
          <w:position w:val="0"/>
          <w:shd w:val="clear" w:color="auto" w:fill="auto"/>
          <w:lang w:val="en-US" w:eastAsia="en-US" w:bidi="en-US"/>
        </w:rPr>
        <w:t xml:space="preserve"> With the loss of Shiloh is explained the appearance of the priests at Nob outside Jerusalem (xxi.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xxii. 9), which is followed by their massacre, the flight of Abiathar (xxii.), and the transference of the sacred ephod to David (xxiii. 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 xml:space="preserve">Here, however, the emphasis laid upon the ephod brought by Abiathar, the survivor of the house of </w:t>
      </w:r>
      <w:r>
        <w:rPr>
          <w:rFonts w:ascii="Times New Roman" w:eastAsia="Times New Roman" w:hAnsi="Times New Roman" w:cs="Times New Roman"/>
          <w:color w:val="000000"/>
          <w:spacing w:val="0"/>
          <w:w w:val="100"/>
          <w:position w:val="0"/>
          <w:shd w:val="clear" w:color="auto" w:fill="auto"/>
          <w:lang w:val="fr-FR" w:eastAsia="fr-FR" w:bidi="fr-FR"/>
        </w:rPr>
        <w:t xml:space="preserve">Eli </w:t>
      </w:r>
      <w:r>
        <w:rPr>
          <w:rFonts w:ascii="Times New Roman" w:eastAsia="Times New Roman" w:hAnsi="Times New Roman" w:cs="Times New Roman"/>
          <w:color w:val="000000"/>
          <w:spacing w:val="0"/>
          <w:w w:val="100"/>
          <w:position w:val="0"/>
          <w:shd w:val="clear" w:color="auto" w:fill="auto"/>
          <w:lang w:val="en-US" w:eastAsia="en-US" w:bidi="en-US"/>
        </w:rPr>
        <w:t xml:space="preserve">(cf. ii. 28, xxi. 9), points away from what was once a common object of cult to the late and post- exilic restriction of its use to the Aaronite high priests (see </w:t>
      </w:r>
      <w:r>
        <w:rPr>
          <w:rFonts w:ascii="Times New Roman" w:eastAsia="Times New Roman" w:hAnsi="Times New Roman" w:cs="Times New Roman"/>
          <w:smallCaps/>
          <w:color w:val="000000"/>
          <w:spacing w:val="0"/>
          <w:w w:val="100"/>
          <w:position w:val="0"/>
          <w:shd w:val="clear" w:color="auto" w:fill="auto"/>
          <w:lang w:val="en-US" w:eastAsia="en-US" w:bidi="en-US"/>
        </w:rPr>
        <w:t>Ephod).</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Moreover, according to 1 Kings ii. 26, Abîathar bore the </w:t>
      </w:r>
      <w:r>
        <w:rPr>
          <w:rFonts w:ascii="Times New Roman" w:eastAsia="Times New Roman" w:hAnsi="Times New Roman" w:cs="Times New Roman"/>
          <w:i/>
          <w:iCs/>
          <w:color w:val="000000"/>
          <w:spacing w:val="0"/>
          <w:w w:val="100"/>
          <w:position w:val="0"/>
          <w:shd w:val="clear" w:color="auto" w:fill="auto"/>
          <w:lang w:val="en-US" w:eastAsia="en-US" w:bidi="en-US"/>
        </w:rPr>
        <w:t>ark,</w:t>
      </w:r>
      <w:r>
        <w:rPr>
          <w:rFonts w:ascii="Times New Roman" w:eastAsia="Times New Roman" w:hAnsi="Times New Roman" w:cs="Times New Roman"/>
          <w:color w:val="000000"/>
          <w:spacing w:val="0"/>
          <w:w w:val="100"/>
          <w:position w:val="0"/>
          <w:shd w:val="clear" w:color="auto" w:fill="auto"/>
          <w:lang w:val="en-US" w:eastAsia="en-US" w:bidi="en-US"/>
        </w:rPr>
        <w:t xml:space="preserve"> and while some traditions traced its history to Shiloh, or even found it at Bethel (Judg. xx. 27 seq.), others apparently ran quite another course, associated it with southern clans ultimately settled in Judah, and supposed that Jerusalem was its first resting-place. The author of 2 Sam. vii. 6 (cf. also 1 Chron. xxiii. 25 sq.) can scarcely have known 1 Sam. i.-fii. with its temple at Shiloh, and although 2 Sam. vi. finds its present prelude in 1 Sam. vi. 17-vii. 1, that passage actually brings the story of its fortunes to a close by relating the return of the ark from Philistine territory to the care of Abinadab and Eleazar at Kirjath-jearim (note the “ Levîtical ” type of the names; Budde,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p. 47). From Josh. ix. 17 (post-exilic source) it might indeed be argued that the district was not under Israelite jurisdiction (see Kennedy, </w:t>
      </w:r>
      <w:r>
        <w:rPr>
          <w:rFonts w:ascii="Times New Roman" w:eastAsia="Times New Roman" w:hAnsi="Times New Roman" w:cs="Times New Roman"/>
          <w:i/>
          <w:iCs/>
          <w:color w:val="000000"/>
          <w:spacing w:val="0"/>
          <w:w w:val="100"/>
          <w:position w:val="0"/>
          <w:shd w:val="clear" w:color="auto" w:fill="auto"/>
          <w:lang w:val="en-US" w:eastAsia="en-US" w:bidi="en-US"/>
        </w:rPr>
        <w:t>Sam.</w:t>
      </w:r>
      <w:r>
        <w:rPr>
          <w:rFonts w:ascii="Times New Roman" w:eastAsia="Times New Roman" w:hAnsi="Times New Roman" w:cs="Times New Roman"/>
          <w:color w:val="000000"/>
          <w:spacing w:val="0"/>
          <w:w w:val="100"/>
          <w:position w:val="0"/>
          <w:shd w:val="clear" w:color="auto" w:fill="auto"/>
          <w:lang w:val="en-US" w:eastAsia="en-US" w:bidi="en-US"/>
        </w:rPr>
        <w:t xml:space="preserve"> p. 325 seq.), although to judge from the older</w:t>
      </w:r>
    </w:p>
    <w:p>
      <w:pPr>
        <w:pStyle w:val="Style10"/>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late genealogy of Saul in 1 Chron. vfii. 29 sqq., ix. 35 sqq., is evidence for a keen interest in the Saulidae in post-exilic times.</w:t>
      </w:r>
    </w:p>
    <w:p>
      <w:pPr>
        <w:pStyle w:val="Style10"/>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The chapter with the prophecy of Abigail may be of Calebite origin.</w:t>
      </w:r>
    </w:p>
    <w:p>
      <w:pPr>
        <w:pStyle w:val="Style10"/>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So also, David’s wars (2 Sam. viii.) bear a certain resemblance to those of Saul (1 Sam. xiv. 47).</w:t>
      </w:r>
    </w:p>
    <w:p>
      <w:pPr>
        <w:pStyle w:val="Style10"/>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Sec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Moore, </w:t>
      </w:r>
      <w:r>
        <w:rPr>
          <w:rFonts w:ascii="Times New Roman" w:eastAsia="Times New Roman" w:hAnsi="Times New Roman" w:cs="Times New Roman"/>
          <w:i/>
          <w:iCs/>
          <w:color w:val="000000"/>
          <w:spacing w:val="0"/>
          <w:w w:val="100"/>
          <w:position w:val="0"/>
          <w:shd w:val="clear" w:color="auto" w:fill="auto"/>
          <w:lang w:val="en-US" w:eastAsia="en-US" w:bidi="en-US"/>
        </w:rPr>
        <w:t>Ency. Bib. "</w:t>
      </w:r>
      <w:r>
        <w:rPr>
          <w:rFonts w:ascii="Times New Roman" w:eastAsia="Times New Roman" w:hAnsi="Times New Roman" w:cs="Times New Roman"/>
          <w:color w:val="000000"/>
          <w:spacing w:val="0"/>
          <w:w w:val="100"/>
          <w:position w:val="0"/>
          <w:shd w:val="clear" w:color="auto" w:fill="auto"/>
          <w:lang w:val="en-US" w:eastAsia="en-US" w:bidi="en-US"/>
        </w:rPr>
        <w:t>Historical Literature.” § 6 seq. “ Joshua,’’ §§ 5, 11; “Judges,” § 14.</w:t>
      </w:r>
    </w:p>
    <w:p>
      <w:pPr>
        <w:pStyle w:val="Style10"/>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length of office in 1 Sam. iv. 18 (cf. vii. 15) compare the similar notices in Judg. x. 2 seq., xii. 7 sqq., xv. 20, xvi. 31, and with the length of oppression in vii. 2, cf. Judg. iii. 8, 14, iv. 3,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 1,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x. 8, xfii. </w:t>
      </w: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I.</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Nowack, p. 39; Riedel, </w:t>
      </w:r>
      <w:r>
        <w:rPr>
          <w:rFonts w:ascii="Times New Roman" w:eastAsia="Times New Roman" w:hAnsi="Times New Roman" w:cs="Times New Roman"/>
          <w:i/>
          <w:iCs/>
          <w:color w:val="000000"/>
          <w:spacing w:val="0"/>
          <w:w w:val="100"/>
          <w:position w:val="0"/>
          <w:shd w:val="clear" w:color="auto" w:fill="auto"/>
          <w:lang w:val="de-DE" w:eastAsia="de-DE" w:bidi="de-DE"/>
        </w:rPr>
        <w:t xml:space="preserve">Theolog.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Lit. </w:t>
      </w:r>
      <w:r>
        <w:rPr>
          <w:rFonts w:ascii="Times New Roman" w:eastAsia="Times New Roman" w:hAnsi="Times New Roman" w:cs="Times New Roman"/>
          <w:i/>
          <w:iCs/>
          <w:color w:val="000000"/>
          <w:spacing w:val="0"/>
          <w:w w:val="100"/>
          <w:position w:val="0"/>
          <w:shd w:val="clear" w:color="auto" w:fill="auto"/>
          <w:lang w:val="de-DE" w:eastAsia="de-DE" w:bidi="de-DE"/>
        </w:rPr>
        <w:t>Blatt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(1904), No. 3, col. 28.</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 A. Cook, </w:t>
      </w:r>
      <w:r>
        <w:rPr>
          <w:rFonts w:ascii="Times New Roman" w:eastAsia="Times New Roman" w:hAnsi="Times New Roman" w:cs="Times New Roman"/>
          <w:i/>
          <w:iCs/>
          <w:color w:val="000000"/>
          <w:spacing w:val="0"/>
          <w:w w:val="100"/>
          <w:position w:val="0"/>
          <w:shd w:val="clear" w:color="auto" w:fill="auto"/>
          <w:lang w:val="en-US" w:eastAsia="en-US" w:bidi="en-US"/>
        </w:rPr>
        <w:t>Critical Notes,</w:t>
      </w:r>
      <w:r>
        <w:rPr>
          <w:rFonts w:ascii="Times New Roman" w:eastAsia="Times New Roman" w:hAnsi="Times New Roman" w:cs="Times New Roman"/>
          <w:color w:val="000000"/>
          <w:spacing w:val="0"/>
          <w:w w:val="100"/>
          <w:position w:val="0"/>
          <w:shd w:val="clear" w:color="auto" w:fill="auto"/>
          <w:lang w:val="en-US" w:eastAsia="en-US" w:bidi="en-US"/>
        </w:rPr>
        <w:t xml:space="preserve"> p. 127 seq. (cf. Dhorme,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 Bibl., </w:t>
      </w:r>
      <w:r>
        <w:rPr>
          <w:rFonts w:ascii="Times New Roman" w:eastAsia="Times New Roman" w:hAnsi="Times New Roman" w:cs="Times New Roman"/>
          <w:color w:val="000000"/>
          <w:spacing w:val="0"/>
          <w:w w:val="100"/>
          <w:position w:val="0"/>
          <w:shd w:val="clear" w:color="auto" w:fill="auto"/>
          <w:lang w:val="en-US" w:eastAsia="en-US" w:bidi="en-US"/>
        </w:rPr>
        <w:t xml:space="preserve">1908, p. 436; Godbey, </w:t>
      </w:r>
      <w:r>
        <w:rPr>
          <w:rFonts w:ascii="Times New Roman" w:eastAsia="Times New Roman" w:hAnsi="Times New Roman" w:cs="Times New Roman"/>
          <w:i/>
          <w:iCs/>
          <w:color w:val="000000"/>
          <w:spacing w:val="0"/>
          <w:w w:val="100"/>
          <w:position w:val="0"/>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hd w:val="clear" w:color="auto" w:fill="auto"/>
          <w:lang w:val="en-US" w:eastAsia="en-US" w:bidi="en-US"/>
        </w:rPr>
        <w:t>Jοurn. Theol.,</w:t>
      </w:r>
      <w:r>
        <w:rPr>
          <w:rFonts w:ascii="Times New Roman" w:eastAsia="Times New Roman" w:hAnsi="Times New Roman" w:cs="Times New Roman"/>
          <w:color w:val="000000"/>
          <w:spacing w:val="0"/>
          <w:w w:val="100"/>
          <w:position w:val="0"/>
          <w:shd w:val="clear" w:color="auto" w:fill="auto"/>
          <w:lang w:val="en-US" w:eastAsia="en-US" w:bidi="en-US"/>
        </w:rPr>
        <w:t xml:space="preserve"> 1909, p. 610).</w:t>
      </w:r>
    </w:p>
    <w:p>
      <w:pPr>
        <w:pStyle w:val="Style10"/>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Although writers sought to explain Saul’s disastrous end (cf. 1 Chron. x. 13), it is only Josephus </w:t>
      </w:r>
      <w:r>
        <w:rPr>
          <w:rFonts w:ascii="Times New Roman" w:eastAsia="Times New Roman" w:hAnsi="Times New Roman" w:cs="Times New Roman"/>
          <w:i/>
          <w:iCs/>
          <w:color w:val="000000"/>
          <w:spacing w:val="0"/>
          <w:w w:val="100"/>
          <w:position w:val="0"/>
          <w:shd w:val="clear" w:color="auto" w:fill="auto"/>
          <w:lang w:val="en-US" w:eastAsia="en-US" w:bidi="en-US"/>
        </w:rPr>
        <w:t>(Ant.</w:t>
      </w:r>
      <w:r>
        <w:rPr>
          <w:rFonts w:ascii="Times New Roman" w:eastAsia="Times New Roman" w:hAnsi="Times New Roman" w:cs="Times New Roman"/>
          <w:color w:val="000000"/>
          <w:spacing w:val="0"/>
          <w:w w:val="100"/>
          <w:position w:val="0"/>
          <w:shd w:val="clear" w:color="auto" w:fill="auto"/>
          <w:lang w:val="en-US" w:eastAsia="en-US" w:bidi="en-US"/>
        </w:rPr>
        <w:t xml:space="preserve"> vi. </w:t>
      </w:r>
      <w:r>
        <w:rPr>
          <w:rFonts w:ascii="Times New Roman" w:eastAsia="Times New Roman" w:hAnsi="Times New Roman" w:cs="Times New Roman"/>
          <w:i/>
          <w:iCs/>
          <w:color w:val="000000"/>
          <w:spacing w:val="0"/>
          <w:w w:val="100"/>
          <w:position w:val="0"/>
          <w:shd w:val="clear" w:color="auto" w:fill="auto"/>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9) who refers to the atrocity at Nob. The significance of the tradition is unknown ; some connexion with Saul’s religious zeal at Gibeon has been conjectured (2 Sam. xxi. 2). That the actual murderer was an Edomite may perhaps be associated with other traditions of Edomite hostility.</w:t>
      </w:r>
    </w:p>
    <w:p>
      <w:pPr>
        <w:widowControl w:val="0"/>
        <w:spacing w:line="1" w:lineRule="exact"/>
      </w:pPr>
    </w:p>
    <w:sectPr>
      <w:footnotePr>
        <w:pos w:val="pageBottom"/>
        <w:numFmt w:val="decimal"/>
        <w:numRestart w:val="continuous"/>
      </w:footnotePr>
      <w:type w:val="continuous"/>
      <w:pgSz w:w="12240" w:h="15840"/>
      <w:pgMar w:top="872" w:left="812" w:right="1011" w:bottom="7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