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Undeveloped there is the Person (purusha), the all-pervading, characterless (alinga). Whatsoever knows him is liberated, and attains immortality.” Here the Vedãntist commentator assures us that the Great Undeveloped, which the Sãnkhyas would claim as their own primary material principle (pradhãna, prakriti). is in reality </w:t>
      </w:r>
      <w:r>
        <w:rPr>
          <w:rFonts w:ascii="Times New Roman" w:eastAsia="Times New Roman" w:hAnsi="Times New Roman" w:cs="Times New Roman"/>
          <w:i/>
          <w:iCs/>
          <w:color w:val="000000"/>
          <w:spacing w:val="0"/>
          <w:w w:val="100"/>
          <w:position w:val="0"/>
          <w:shd w:val="clear" w:color="auto" w:fill="auto"/>
          <w:lang w:val="en-US" w:eastAsia="en-US" w:bidi="en-US"/>
        </w:rPr>
        <w:t>Mäyä,</w:t>
      </w:r>
      <w:r>
        <w:rPr>
          <w:rFonts w:ascii="Times New Roman" w:eastAsia="Times New Roman" w:hAnsi="Times New Roman" w:cs="Times New Roman"/>
          <w:color w:val="000000"/>
          <w:spacing w:val="0"/>
          <w:w w:val="100"/>
          <w:position w:val="0"/>
          <w:shd w:val="clear" w:color="auto" w:fill="auto"/>
          <w:lang w:val="en-US" w:eastAsia="en-US" w:bidi="en-US"/>
        </w:rPr>
        <w:t xml:space="preserve"> illusion (otherwise called Avidyã, ignorance, or Sakti, power), the fictitious energy which in conjunction with the Highest Self (Ãtman, Purusha) produces or constitutes the Isvara, the Lord, or Cosmic Soul, the first emanation of the Atman, and himself the (fictitious) cause of all that seems to exist. It must remain doubtful, however, whether the author of the Upanishad really meant this, or whether he regarded the Great Undeveloped as an actual material principle or substratum evolved from out of the Purusha, though not, as the Sãnkhyas hold, coexisting with him from eternity. Besides passages such as these which seem to indicate realistic or materialistic tendencies of thought, which may well have developed into the dualistic Sãnkhya and kindred systems, there are others which indicate the existence even of nihilist theories, such as the Bauddhas— the </w:t>
      </w:r>
      <w:r>
        <w:rPr>
          <w:rFonts w:ascii="Times New Roman" w:eastAsia="Times New Roman" w:hAnsi="Times New Roman" w:cs="Times New Roman"/>
          <w:i/>
          <w:iCs/>
          <w:color w:val="000000"/>
          <w:spacing w:val="0"/>
          <w:w w:val="100"/>
          <w:position w:val="0"/>
          <w:shd w:val="clear" w:color="auto" w:fill="auto"/>
          <w:lang w:val="en-US" w:eastAsia="en-US" w:bidi="en-US"/>
        </w:rPr>
        <w:t>sunya-vadins,</w:t>
      </w:r>
      <w:r>
        <w:rPr>
          <w:rFonts w:ascii="Times New Roman" w:eastAsia="Times New Roman" w:hAnsi="Times New Roman" w:cs="Times New Roman"/>
          <w:color w:val="000000"/>
          <w:spacing w:val="0"/>
          <w:w w:val="100"/>
          <w:position w:val="0"/>
          <w:shd w:val="clear" w:color="auto" w:fill="auto"/>
          <w:lang w:val="en-US" w:eastAsia="en-US" w:bidi="en-US"/>
        </w:rPr>
        <w:t xml:space="preserve"> or affirmers of a void or primordial nothingness— profess. Thus we read in the Chhãndogya-upanishad:@@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existent alone, my son, was here in the beginning, one only, without a second. Others say, there was the non-existent alone here in the beginning, one only, without a second—and from the non-existent the existent was born. But how could this be, my son? How could the existent be born from the non-existent? No, my son, only the existent was here in the beginning, one only, without a second.”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foundation of the Yedãnta system, as “ the completion of the Veda,” is naturally ascribed to Vyasa, the mythic arranger of the Vedas, who is said to be identical with Bãdarãyana the reputed author of the </w:t>
      </w:r>
      <w:r>
        <w:rPr>
          <w:rFonts w:ascii="Times New Roman" w:eastAsia="Times New Roman" w:hAnsi="Times New Roman" w:cs="Times New Roman"/>
          <w:i/>
          <w:iCs/>
          <w:color w:val="000000"/>
          <w:spacing w:val="0"/>
          <w:w w:val="100"/>
          <w:position w:val="0"/>
          <w:shd w:val="clear" w:color="auto" w:fill="auto"/>
          <w:lang w:val="en-US" w:eastAsia="en-US" w:bidi="en-US"/>
        </w:rPr>
        <w:t>Brahma-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Säñraka-) sütra,</w:t>
      </w:r>
      <w:r>
        <w:rPr>
          <w:rFonts w:ascii="Times New Roman" w:eastAsia="Times New Roman" w:hAnsi="Times New Roman" w:cs="Times New Roman"/>
          <w:color w:val="000000"/>
          <w:spacing w:val="0"/>
          <w:w w:val="100"/>
          <w:position w:val="0"/>
          <w:shd w:val="clear" w:color="auto" w:fill="auto"/>
          <w:lang w:val="en-US" w:eastAsia="en-US" w:bidi="en-US"/>
        </w:rPr>
        <w:t xml:space="preserve"> the authoritative, though highly obscure, summary of the system. The most distinguished interpreter of these aphorisms is the famous Malabar theologian Sankara Ãchãrya,@@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who also commented on the principal Upanishads and the Bhagavadgita, and is said to have spent the greater part of his life in wandering all over India, as far as Kashmir, and engaging in disputations with teachers— whether of the Sai</w:t>
      </w:r>
      <w:r>
        <w:rPr>
          <w:rFonts w:ascii="Times New Roman" w:eastAsia="Times New Roman" w:hAnsi="Times New Roman" w:cs="Times New Roman"/>
          <w:color w:val="000000"/>
          <w:spacing w:val="0"/>
          <w:w w:val="100"/>
          <w:position w:val="0"/>
          <w:shd w:val="clear" w:color="auto" w:fill="auto"/>
          <w:lang w:val="fr-FR" w:eastAsia="fr-FR" w:bidi="fr-FR"/>
        </w:rPr>
        <w:t xml:space="preserve">va, </w:t>
      </w:r>
      <w:r>
        <w:rPr>
          <w:rFonts w:ascii="Times New Roman" w:eastAsia="Times New Roman" w:hAnsi="Times New Roman" w:cs="Times New Roman"/>
          <w:color w:val="000000"/>
          <w:spacing w:val="0"/>
          <w:w w:val="100"/>
          <w:position w:val="0"/>
          <w:shd w:val="clear" w:color="auto" w:fill="auto"/>
          <w:lang w:val="en-US" w:eastAsia="en-US" w:bidi="en-US"/>
        </w:rPr>
        <w:t xml:space="preserve">or Vaishnava, or less orthodox persuasions—with the view of rooting out heresy and re-establishing the doctrine of the Upanishads. His controversial triumphs (doubtless largely mythical) are related in a number of treatises current in South India, the two most important of which are the </w:t>
      </w:r>
      <w:r>
        <w:rPr>
          <w:rFonts w:ascii="Times New Roman" w:eastAsia="Times New Roman" w:hAnsi="Times New Roman" w:cs="Times New Roman"/>
          <w:i/>
          <w:iCs/>
          <w:color w:val="000000"/>
          <w:spacing w:val="0"/>
          <w:w w:val="100"/>
          <w:position w:val="0"/>
          <w:shd w:val="clear" w:color="auto" w:fill="auto"/>
          <w:lang w:val="en-US" w:eastAsia="en-US" w:bidi="en-US"/>
        </w:rPr>
        <w:t>Sankara-dig-vijaya</w:t>
      </w:r>
      <w:r>
        <w:rPr>
          <w:rFonts w:ascii="Times New Roman" w:eastAsia="Times New Roman" w:hAnsi="Times New Roman" w:cs="Times New Roman"/>
          <w:color w:val="000000"/>
          <w:spacing w:val="0"/>
          <w:w w:val="100"/>
          <w:position w:val="0"/>
          <w:shd w:val="clear" w:color="auto" w:fill="auto"/>
          <w:lang w:val="en-US" w:eastAsia="en-US" w:bidi="en-US"/>
        </w:rPr>
        <w:t xml:space="preserve"> (“ Sankara’s world-conquest ”), ascribed to his own disciple Anandagiri, and the </w:t>
      </w:r>
      <w:r>
        <w:rPr>
          <w:rFonts w:ascii="Times New Roman" w:eastAsia="Times New Roman" w:hAnsi="Times New Roman" w:cs="Times New Roman"/>
          <w:i/>
          <w:iCs/>
          <w:color w:val="000000"/>
          <w:spacing w:val="0"/>
          <w:w w:val="100"/>
          <w:position w:val="0"/>
          <w:shd w:val="clear" w:color="auto" w:fill="auto"/>
          <w:lang w:val="en-US" w:eastAsia="en-US" w:bidi="en-US"/>
        </w:rPr>
        <w:t>Sankαra-vijaya,</w:t>
      </w:r>
      <w:r>
        <w:rPr>
          <w:rFonts w:ascii="Times New Roman" w:eastAsia="Times New Roman" w:hAnsi="Times New Roman" w:cs="Times New Roman"/>
          <w:color w:val="000000"/>
          <w:spacing w:val="0"/>
          <w:w w:val="100"/>
          <w:position w:val="0"/>
          <w:shd w:val="clear" w:color="auto" w:fill="auto"/>
          <w:lang w:val="en-US" w:eastAsia="en-US" w:bidi="en-US"/>
        </w:rPr>
        <w:t xml:space="preserve"> by Mãdhavãchãrya. In Sankara’s philosophy@@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theory that the material world has no real existence, but is a mere illusion of the individual soul wrapt in ignorance,—that, therefore, it has only a practical or conventional </w:t>
      </w:r>
      <w:r>
        <w:rPr>
          <w:rFonts w:ascii="Times New Roman" w:eastAsia="Times New Roman" w:hAnsi="Times New Roman" w:cs="Times New Roman"/>
          <w:i/>
          <w:iCs/>
          <w:color w:val="000000"/>
          <w:spacing w:val="0"/>
          <w:w w:val="100"/>
          <w:position w:val="0"/>
          <w:shd w:val="clear" w:color="auto" w:fill="auto"/>
          <w:lang w:val="en-US" w:eastAsia="en-US" w:bidi="en-US"/>
        </w:rPr>
        <w:t>(vyävaharika)</w:t>
      </w:r>
      <w:r>
        <w:rPr>
          <w:rFonts w:ascii="Times New Roman" w:eastAsia="Times New Roman" w:hAnsi="Times New Roman" w:cs="Times New Roman"/>
          <w:color w:val="000000"/>
          <w:spacing w:val="0"/>
          <w:w w:val="100"/>
          <w:position w:val="0"/>
          <w:shd w:val="clear" w:color="auto" w:fill="auto"/>
          <w:lang w:val="en-US" w:eastAsia="en-US" w:bidi="en-US"/>
        </w:rPr>
        <w:t xml:space="preserve"> but not a transcendental or true </w:t>
      </w:r>
      <w:r>
        <w:rPr>
          <w:rFonts w:ascii="Times New Roman" w:eastAsia="Times New Roman" w:hAnsi="Times New Roman" w:cs="Times New Roman"/>
          <w:i/>
          <w:iCs/>
          <w:color w:val="000000"/>
          <w:spacing w:val="0"/>
          <w:w w:val="100"/>
          <w:position w:val="0"/>
          <w:shd w:val="clear" w:color="auto" w:fill="auto"/>
          <w:lang w:val="en-US" w:eastAsia="en-US" w:bidi="en-US"/>
        </w:rPr>
        <w:t>(parαmarthika)</w:t>
      </w:r>
      <w:r>
        <w:rPr>
          <w:rFonts w:ascii="Times New Roman" w:eastAsia="Times New Roman" w:hAnsi="Times New Roman" w:cs="Times New Roman"/>
          <w:color w:val="000000"/>
          <w:spacing w:val="0"/>
          <w:w w:val="100"/>
          <w:position w:val="0"/>
          <w:shd w:val="clear" w:color="auto" w:fill="auto"/>
          <w:lang w:val="en-US" w:eastAsia="en-US" w:bidi="en-US"/>
        </w:rPr>
        <w:t xml:space="preserve"> reality,—is strictly enforced. In accordance with this distinction, a higher </w:t>
      </w:r>
      <w:r>
        <w:rPr>
          <w:rFonts w:ascii="Times New Roman" w:eastAsia="Times New Roman" w:hAnsi="Times New Roman" w:cs="Times New Roman"/>
          <w:i/>
          <w:iCs/>
          <w:color w:val="000000"/>
          <w:spacing w:val="0"/>
          <w:w w:val="100"/>
          <w:position w:val="0"/>
          <w:shd w:val="clear" w:color="auto" w:fill="auto"/>
          <w:lang w:val="fr-FR" w:eastAsia="fr-FR" w:bidi="fr-FR"/>
        </w:rPr>
        <w:t>(para)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lower </w:t>
      </w:r>
      <w:r>
        <w:rPr>
          <w:rFonts w:ascii="Times New Roman" w:eastAsia="Times New Roman" w:hAnsi="Times New Roman" w:cs="Times New Roman"/>
          <w:i/>
          <w:iCs/>
          <w:color w:val="000000"/>
          <w:spacing w:val="0"/>
          <w:w w:val="100"/>
          <w:position w:val="0"/>
          <w:shd w:val="clear" w:color="auto" w:fill="auto"/>
          <w:lang w:val="en-US" w:eastAsia="en-US" w:bidi="en-US"/>
        </w:rPr>
        <w:t>(aparä)</w:t>
      </w:r>
      <w:r>
        <w:rPr>
          <w:rFonts w:ascii="Times New Roman" w:eastAsia="Times New Roman" w:hAnsi="Times New Roman" w:cs="Times New Roman"/>
          <w:color w:val="000000"/>
          <w:spacing w:val="0"/>
          <w:w w:val="100"/>
          <w:position w:val="0"/>
          <w:shd w:val="clear" w:color="auto" w:fill="auto"/>
          <w:lang w:val="en-US" w:eastAsia="en-US" w:bidi="en-US"/>
        </w:rPr>
        <w:t xml:space="preserve"> form of knowledge is recognized; the former being concerned with the Brahman (n.), whilst the latter deals with the personal Brahma, the Isvara, or lord and creator, who, however, is a mere illusory form of the divine spirit, resulting from ignorance of the human soul. To the question why the Supreme Self (or rather hïs fictitious development, the Highest Lord) should have sent forth this phantasmagory this great thinker (with the author of the Sutras@@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can return no better answer than that it must have been done for sport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(ZïZã), </w:t>
      </w:r>
      <w:r>
        <w:rPr>
          <w:rFonts w:ascii="Times New Roman" w:eastAsia="Times New Roman" w:hAnsi="Times New Roman" w:cs="Times New Roman"/>
          <w:color w:val="000000"/>
          <w:spacing w:val="0"/>
          <w:w w:val="100"/>
          <w:position w:val="0"/>
          <w:shd w:val="clear" w:color="auto" w:fill="auto"/>
          <w:lang w:val="en-US" w:eastAsia="en-US" w:bidi="en-US"/>
        </w:rPr>
        <w:t xml:space="preserve">without any special motive—since to ascribe such a motive to the Supreme Lord would be limiting his self-sufficiency—and that the process of creation has been going on from all eternity. Sankara’s </w:t>
      </w:r>
      <w:r>
        <w:rPr>
          <w:rFonts w:ascii="Times New Roman" w:eastAsia="Times New Roman" w:hAnsi="Times New Roman" w:cs="Times New Roman"/>
          <w:i/>
          <w:iCs/>
          <w:color w:val="000000"/>
          <w:spacing w:val="0"/>
          <w:w w:val="100"/>
          <w:position w:val="0"/>
          <w:shd w:val="clear" w:color="auto" w:fill="auto"/>
          <w:lang w:val="en-US" w:eastAsia="en-US" w:bidi="en-US"/>
        </w:rPr>
        <w:t>Säñraka-mimämsä-bhashya@@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rise to a large number of exegetic treatises, of which Vãchaspati-misra’s@@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exposition, entitled </w:t>
      </w:r>
      <w:r>
        <w:rPr>
          <w:rFonts w:ascii="Times New Roman" w:eastAsia="Times New Roman" w:hAnsi="Times New Roman" w:cs="Times New Roman"/>
          <w:i/>
          <w:iCs/>
          <w:color w:val="000000"/>
          <w:spacing w:val="0"/>
          <w:w w:val="100"/>
          <w:position w:val="0"/>
          <w:shd w:val="clear" w:color="auto" w:fill="auto"/>
          <w:lang w:val="en-US" w:eastAsia="en-US" w:bidi="en-US"/>
        </w:rPr>
        <w:t>Bhamaμ,@@</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esteemed. Of numerous other commentaries on the Brahma-sütras, the </w:t>
      </w:r>
      <w:r>
        <w:rPr>
          <w:rFonts w:ascii="Times New Roman" w:eastAsia="Times New Roman" w:hAnsi="Times New Roman" w:cs="Times New Roman"/>
          <w:i/>
          <w:iCs/>
          <w:color w:val="000000"/>
          <w:spacing w:val="0"/>
          <w:w w:val="100"/>
          <w:position w:val="0"/>
          <w:shd w:val="clear" w:color="auto" w:fill="auto"/>
          <w:lang w:val="en-US" w:eastAsia="en-US" w:bidi="en-US"/>
        </w:rPr>
        <w:t>Srï-bhäshya,</w:t>
      </w:r>
      <w:r>
        <w:rPr>
          <w:rFonts w:ascii="Times New Roman" w:eastAsia="Times New Roman" w:hAnsi="Times New Roman" w:cs="Times New Roman"/>
          <w:color w:val="000000"/>
          <w:spacing w:val="0"/>
          <w:w w:val="100"/>
          <w:position w:val="0"/>
          <w:shd w:val="clear" w:color="auto" w:fill="auto"/>
          <w:lang w:val="en-US" w:eastAsia="en-US" w:bidi="en-US"/>
        </w:rPr>
        <w:t xml:space="preserve"> by Rãmãnuja, the founder of the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Sri-</w:t>
      </w:r>
      <w:r>
        <w:rPr>
          <w:rFonts w:ascii="Times New Roman" w:eastAsia="Times New Roman" w:hAnsi="Times New Roman" w:cs="Times New Roman"/>
          <w:color w:val="000000"/>
          <w:spacing w:val="0"/>
          <w:w w:val="100"/>
          <w:position w:val="0"/>
          <w:shd w:val="clear" w:color="auto" w:fill="auto"/>
          <w:lang w:val="en-US" w:eastAsia="en-US" w:bidi="en-US"/>
        </w:rPr>
        <w:t>Vaishn</w:t>
      </w:r>
      <w:r>
        <w:rPr>
          <w:rFonts w:ascii="Times New Roman" w:eastAsia="Times New Roman" w:hAnsi="Times New Roman" w:cs="Times New Roman"/>
          <w:color w:val="000000"/>
          <w:spacing w:val="0"/>
          <w:w w:val="100"/>
          <w:position w:val="0"/>
          <w:shd w:val="clear" w:color="auto" w:fill="auto"/>
          <w:lang w:val="fr-FR" w:eastAsia="fr-FR" w:bidi="fr-FR"/>
        </w:rPr>
        <w:t xml:space="preserve">ava </w:t>
      </w:r>
      <w:r>
        <w:rPr>
          <w:rFonts w:ascii="Times New Roman" w:eastAsia="Times New Roman" w:hAnsi="Times New Roman" w:cs="Times New Roman"/>
          <w:color w:val="000000"/>
          <w:spacing w:val="0"/>
          <w:w w:val="100"/>
          <w:position w:val="0"/>
          <w:shd w:val="clear" w:color="auto" w:fill="auto"/>
          <w:lang w:val="en-US" w:eastAsia="en-US" w:bidi="en-US"/>
        </w:rPr>
        <w:t xml:space="preserve">sect, is the most note- worthy. This religious teacher, who flourished in the first half of the 12th century, caused a schism in the Vedänta school. Instead of adhering to Sankara’s orthodox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advaita, </w:t>
      </w:r>
      <w:r>
        <w:rPr>
          <w:rFonts w:ascii="Times New Roman" w:eastAsia="Times New Roman" w:hAnsi="Times New Roman" w:cs="Times New Roman"/>
          <w:color w:val="000000"/>
          <w:spacing w:val="0"/>
          <w:w w:val="100"/>
          <w:position w:val="0"/>
          <w:shd w:val="clear" w:color="auto" w:fill="auto"/>
          <w:lang w:val="en-US" w:eastAsia="en-US" w:bidi="en-US"/>
        </w:rPr>
        <w:t xml:space="preserve">or non-duality, doctrine, he interpreted the obscure Sutras in accordance with his theory of </w:t>
      </w:r>
      <w:r>
        <w:rPr>
          <w:rFonts w:ascii="Times New Roman" w:eastAsia="Times New Roman" w:hAnsi="Times New Roman" w:cs="Times New Roman"/>
          <w:i/>
          <w:iCs/>
          <w:color w:val="000000"/>
          <w:spacing w:val="0"/>
          <w:w w:val="100"/>
          <w:position w:val="0"/>
          <w:shd w:val="clear" w:color="auto" w:fill="auto"/>
          <w:lang w:val="en-US" w:eastAsia="en-US" w:bidi="en-US"/>
        </w:rPr>
        <w:t>viéishtädvaita, i.e.</w:t>
      </w:r>
      <w:r>
        <w:rPr>
          <w:rFonts w:ascii="Times New Roman" w:eastAsia="Times New Roman" w:hAnsi="Times New Roman" w:cs="Times New Roman"/>
          <w:color w:val="000000"/>
          <w:spacing w:val="0"/>
          <w:w w:val="100"/>
          <w:position w:val="0"/>
          <w:shd w:val="clear" w:color="auto" w:fill="auto"/>
          <w:lang w:val="en-US" w:eastAsia="en-US" w:bidi="en-US"/>
        </w:rPr>
        <w:t xml:space="preserve"> non-duality of the (two) distinct (principles), or, as it is more commonly explained, non-duality of that which is qualified (by attributes). According to this theory the Brahman is neither devoid of form and quality, nor is it all things; but it is endowed with all good qualities, and matter is distinct from it; whilst bodies consist of souls </w:t>
      </w:r>
      <w:r>
        <w:rPr>
          <w:rFonts w:ascii="Times New Roman" w:eastAsia="Times New Roman" w:hAnsi="Times New Roman" w:cs="Times New Roman"/>
          <w:i/>
          <w:iCs/>
          <w:color w:val="000000"/>
          <w:spacing w:val="0"/>
          <w:w w:val="100"/>
          <w:position w:val="0"/>
          <w:shd w:val="clear" w:color="auto" w:fill="auto"/>
          <w:lang w:val="en-US" w:eastAsia="en-US" w:bidi="en-US"/>
        </w:rPr>
        <w:t>(chit)</w:t>
      </w:r>
      <w:r>
        <w:rPr>
          <w:rFonts w:ascii="Times New Roman" w:eastAsia="Times New Roman" w:hAnsi="Times New Roman" w:cs="Times New Roman"/>
          <w:color w:val="000000"/>
          <w:spacing w:val="0"/>
          <w:w w:val="100"/>
          <w:position w:val="0"/>
          <w:shd w:val="clear" w:color="auto" w:fill="auto"/>
          <w:lang w:val="en-US" w:eastAsia="en-US" w:bidi="en-US"/>
        </w:rPr>
        <w:t xml:space="preserve"> and matter </w:t>
      </w:r>
      <w:r>
        <w:rPr>
          <w:rFonts w:ascii="Times New Roman" w:eastAsia="Times New Roman" w:hAnsi="Times New Roman" w:cs="Times New Roman"/>
          <w:i/>
          <w:iCs/>
          <w:color w:val="000000"/>
          <w:spacing w:val="0"/>
          <w:w w:val="100"/>
          <w:position w:val="0"/>
          <w:shd w:val="clear" w:color="auto" w:fill="auto"/>
          <w:lang w:val="en-US" w:eastAsia="en-US" w:bidi="en-US"/>
        </w:rPr>
        <w:t>(achit)</w:t>
      </w:r>
      <w:r>
        <w:rPr>
          <w:rFonts w:ascii="Times New Roman" w:eastAsia="Times New Roman" w:hAnsi="Times New Roman" w:cs="Times New Roman"/>
          <w:color w:val="000000"/>
          <w:spacing w:val="0"/>
          <w:w w:val="100"/>
          <w:position w:val="0"/>
          <w:shd w:val="clear" w:color="auto" w:fill="auto"/>
          <w:lang w:val="en-US" w:eastAsia="en-US" w:bidi="en-US"/>
        </w:rPr>
        <w:t xml:space="preserve"> ; and God is the soul. On the religious side, Rãmãnuja adopts the tenets of the ancient Vishnuite Pãncharãtra sect, and, identifying the Brahman with Vishnu, combines with his theory the ordinary Vaishnava doctrine of periodical descents </w:t>
      </w:r>
      <w:r>
        <w:rPr>
          <w:rFonts w:ascii="Times New Roman" w:eastAsia="Times New Roman" w:hAnsi="Times New Roman" w:cs="Times New Roman"/>
          <w:i/>
          <w:iCs/>
          <w:color w:val="000000"/>
          <w:spacing w:val="0"/>
          <w:w w:val="100"/>
          <w:position w:val="0"/>
          <w:shd w:val="clear" w:color="auto" w:fill="auto"/>
          <w:lang w:val="en-US" w:eastAsia="en-US" w:bidi="en-US"/>
        </w:rPr>
        <w:t>(avatära) of</w:t>
      </w:r>
      <w:r>
        <w:rPr>
          <w:rFonts w:ascii="Times New Roman" w:eastAsia="Times New Roman" w:hAnsi="Times New Roman" w:cs="Times New Roman"/>
          <w:color w:val="000000"/>
          <w:spacing w:val="0"/>
          <w:w w:val="100"/>
          <w:position w:val="0"/>
          <w:shd w:val="clear" w:color="auto" w:fill="auto"/>
          <w:lang w:val="en-US" w:eastAsia="en-US" w:bidi="en-US"/>
        </w:rPr>
        <w:t xml:space="preserve"> the deity, in various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forms, for the benefit of creatures; and allowing considerable play to the doctrine that faith </w:t>
      </w:r>
      <w:r>
        <w:rPr>
          <w:rFonts w:ascii="Times New Roman" w:eastAsia="Times New Roman" w:hAnsi="Times New Roman" w:cs="Times New Roman"/>
          <w:i/>
          <w:iCs/>
          <w:color w:val="000000"/>
          <w:spacing w:val="0"/>
          <w:w w:val="100"/>
          <w:position w:val="0"/>
          <w:shd w:val="clear" w:color="auto" w:fill="auto"/>
          <w:lang w:val="en-US" w:eastAsia="en-US" w:bidi="en-US"/>
        </w:rPr>
        <w:t>(bhakti),</w:t>
      </w:r>
      <w:r>
        <w:rPr>
          <w:rFonts w:ascii="Times New Roman" w:eastAsia="Times New Roman" w:hAnsi="Times New Roman" w:cs="Times New Roman"/>
          <w:color w:val="000000"/>
          <w:spacing w:val="0"/>
          <w:w w:val="100"/>
          <w:position w:val="0"/>
          <w:shd w:val="clear" w:color="auto" w:fill="auto"/>
          <w:lang w:val="en-US" w:eastAsia="en-US" w:bidi="en-US"/>
        </w:rPr>
        <w:t xml:space="preserve"> not knowledge </w:t>
      </w:r>
      <w:r>
        <w:rPr>
          <w:rFonts w:ascii="Times New Roman" w:eastAsia="Times New Roman" w:hAnsi="Times New Roman" w:cs="Times New Roman"/>
          <w:i/>
          <w:iCs/>
          <w:color w:val="000000"/>
          <w:spacing w:val="0"/>
          <w:w w:val="100"/>
          <w:position w:val="0"/>
          <w:shd w:val="clear" w:color="auto" w:fill="auto"/>
          <w:lang w:val="en-US" w:eastAsia="en-US" w:bidi="en-US"/>
        </w:rPr>
        <w:t>(vidyα),</w:t>
      </w:r>
      <w:r>
        <w:rPr>
          <w:rFonts w:ascii="Times New Roman" w:eastAsia="Times New Roman" w:hAnsi="Times New Roman" w:cs="Times New Roman"/>
          <w:color w:val="000000"/>
          <w:spacing w:val="0"/>
          <w:w w:val="100"/>
          <w:position w:val="0"/>
          <w:shd w:val="clear" w:color="auto" w:fill="auto"/>
          <w:lang w:val="en-US" w:eastAsia="en-US" w:bidi="en-US"/>
        </w:rPr>
        <w:t xml:space="preserve"> is the means of final emancipation. This phase of Indian religious belief, which has attached itself to the Vedãnta theory more closely than to any other, makes its appearance very prominently in the </w:t>
      </w:r>
      <w:r>
        <w:rPr>
          <w:rFonts w:ascii="Times New Roman" w:eastAsia="Times New Roman" w:hAnsi="Times New Roman" w:cs="Times New Roman"/>
          <w:i/>
          <w:iCs/>
          <w:color w:val="000000"/>
          <w:spacing w:val="0"/>
          <w:w w:val="100"/>
          <w:position w:val="0"/>
          <w:shd w:val="clear" w:color="auto" w:fill="auto"/>
          <w:lang w:val="en-US" w:eastAsia="en-US" w:bidi="en-US"/>
        </w:rPr>
        <w:t>Bha- gαvαdgita,</w:t>
      </w:r>
      <w:r>
        <w:rPr>
          <w:rFonts w:ascii="Times New Roman" w:eastAsia="Times New Roman" w:hAnsi="Times New Roman" w:cs="Times New Roman"/>
          <w:color w:val="000000"/>
          <w:spacing w:val="0"/>
          <w:w w:val="100"/>
          <w:position w:val="0"/>
          <w:shd w:val="clear" w:color="auto" w:fill="auto"/>
          <w:lang w:val="en-US" w:eastAsia="en-US" w:bidi="en-US"/>
        </w:rPr>
        <w:t xml:space="preserve"> the episode of the </w:t>
      </w:r>
      <w:r>
        <w:rPr>
          <w:rFonts w:ascii="Times New Roman" w:eastAsia="Times New Roman" w:hAnsi="Times New Roman" w:cs="Times New Roman"/>
          <w:i/>
          <w:iCs/>
          <w:color w:val="000000"/>
          <w:spacing w:val="0"/>
          <w:w w:val="100"/>
          <w:position w:val="0"/>
          <w:shd w:val="clear" w:color="auto" w:fill="auto"/>
          <w:lang w:val="en-US" w:eastAsia="en-US" w:bidi="en-US"/>
        </w:rPr>
        <w:t>Mahabharata,</w:t>
      </w:r>
      <w:r>
        <w:rPr>
          <w:rFonts w:ascii="Times New Roman" w:eastAsia="Times New Roman" w:hAnsi="Times New Roman" w:cs="Times New Roman"/>
          <w:color w:val="000000"/>
          <w:spacing w:val="0"/>
          <w:w w:val="100"/>
          <w:position w:val="0"/>
          <w:shd w:val="clear" w:color="auto" w:fill="auto"/>
          <w:lang w:val="en-US" w:eastAsia="en-US" w:bidi="en-US"/>
        </w:rPr>
        <w:t xml:space="preserve"> already referred to— where, however, it attaches itself to Sãnkhya-yoga rather than to Vedanta tenets—and is even more fully developed in some of the Puranas, especially the Bhagavata. Some scholars would attribute this doctrine of fervid devotion to Christian influence, but it is already alluded to by Päçiini and in the </w:t>
      </w:r>
      <w:r>
        <w:rPr>
          <w:rFonts w:ascii="Times New Roman" w:eastAsia="Times New Roman" w:hAnsi="Times New Roman" w:cs="Times New Roman"/>
          <w:i/>
          <w:iCs/>
          <w:color w:val="000000"/>
          <w:spacing w:val="0"/>
          <w:w w:val="100"/>
          <w:position w:val="0"/>
          <w:shd w:val="clear" w:color="auto" w:fill="auto"/>
          <w:lang w:val="en-US" w:eastAsia="en-US" w:bidi="en-US"/>
        </w:rPr>
        <w:t>Mahabhäshya.</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Sändilya- (Bhakti-) sütra@@</w:t>
      </w:r>
      <w:r>
        <w:rPr>
          <w:rFonts w:ascii="Times New Roman" w:eastAsia="Times New Roman" w:hAnsi="Times New Roman" w:cs="Times New Roman"/>
          <w:color w:val="000000"/>
          <w:spacing w:val="0"/>
          <w:w w:val="100"/>
          <w:position w:val="0"/>
          <w:shd w:val="clear" w:color="auto" w:fill="auto"/>
          <w:lang w:val="en-US" w:eastAsia="en-US" w:bidi="en-US"/>
        </w:rPr>
        <w:t xml:space="preserve">8 the author and date of which are unknown, the doctrine is systematically propounded in one hundred aphorisms. According to this doctrine mundane existence is due to want of faith, not to ignorance; and the final liberation of the individual soul can only be effected by faith. Knowledge only contributes to this end by removing the mind’s foulness, unbelief. Its highest phase of development this doctrine probably reached in the Vaishnava sect founded, towards the end of the 15th century, by Chaitanya, whose followers subsequently grafted the Vedãnta speculations on his doctrine. In opposition both to Sankara’s theory of absolute unity, and to Rãmãnuja’s doctrine of qualified unity—though leaning more towards the latter—Madhva Åchãrya, or Pûrçaprajna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 ft. </w:t>
      </w:r>
      <w:r>
        <w:rPr>
          <w:rFonts w:ascii="Times New Roman" w:eastAsia="Times New Roman" w:hAnsi="Times New Roman" w:cs="Times New Roman"/>
          <w:color w:val="000000"/>
          <w:spacing w:val="0"/>
          <w:w w:val="100"/>
          <w:position w:val="0"/>
          <w:shd w:val="clear" w:color="auto" w:fill="auto"/>
          <w:lang w:val="en-US" w:eastAsia="en-US" w:bidi="en-US"/>
        </w:rPr>
        <w:t xml:space="preserve">1118-1198), started his </w:t>
      </w:r>
      <w:r>
        <w:rPr>
          <w:rFonts w:ascii="Times New Roman" w:eastAsia="Times New Roman" w:hAnsi="Times New Roman" w:cs="Times New Roman"/>
          <w:i/>
          <w:iCs/>
          <w:color w:val="000000"/>
          <w:spacing w:val="0"/>
          <w:w w:val="100"/>
          <w:position w:val="0"/>
          <w:shd w:val="clear" w:color="auto" w:fill="auto"/>
          <w:lang w:val="en-US" w:eastAsia="en-US" w:bidi="en-US"/>
        </w:rPr>
        <w:t>dvaita,</w:t>
      </w:r>
      <w:r>
        <w:rPr>
          <w:rFonts w:ascii="Times New Roman" w:eastAsia="Times New Roman" w:hAnsi="Times New Roman" w:cs="Times New Roman"/>
          <w:color w:val="000000"/>
          <w:spacing w:val="0"/>
          <w:w w:val="100"/>
          <w:position w:val="0"/>
          <w:shd w:val="clear" w:color="auto" w:fill="auto"/>
          <w:lang w:val="en-US" w:eastAsia="en-US" w:bidi="en-US"/>
        </w:rPr>
        <w:t xml:space="preserve"> or duality doctrine, according to which there is a difference between God and the human soul </w:t>
      </w:r>
      <w:r>
        <w:rPr>
          <w:rFonts w:ascii="Times New Roman" w:eastAsia="Times New Roman" w:hAnsi="Times New Roman" w:cs="Times New Roman"/>
          <w:i/>
          <w:iCs/>
          <w:color w:val="000000"/>
          <w:spacing w:val="0"/>
          <w:w w:val="100"/>
          <w:position w:val="0"/>
          <w:shd w:val="clear" w:color="auto" w:fill="auto"/>
          <w:lang w:val="en-US" w:eastAsia="en-US" w:bidi="en-US"/>
        </w:rPr>
        <w:t xml:space="preserve">(jiυa),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between God and nature; whilst the individual souls, which are innumerable, eternal, and indestructible, are likewise different from one another; but, though distinct, are yet united with God, like tree and sap, in an indissoluble union. This doctrine also identifies the Brahman with Vishnu, by the side of whom, likewise infinite, is the goddess Lakshmî, as Prakriti (nature), from whom inert matter </w:t>
      </w:r>
      <w:r>
        <w:rPr>
          <w:rFonts w:ascii="Times New Roman" w:eastAsia="Times New Roman" w:hAnsi="Times New Roman" w:cs="Times New Roman"/>
          <w:i/>
          <w:iCs/>
          <w:color w:val="000000"/>
          <w:spacing w:val="0"/>
          <w:w w:val="100"/>
          <w:position w:val="0"/>
          <w:shd w:val="clear" w:color="auto" w:fill="auto"/>
          <w:lang w:val="en-US" w:eastAsia="en-US" w:bidi="en-US"/>
        </w:rPr>
        <w:t>(jada)</w:t>
      </w:r>
      <w:r>
        <w:rPr>
          <w:rFonts w:ascii="Times New Roman" w:eastAsia="Times New Roman" w:hAnsi="Times New Roman" w:cs="Times New Roman"/>
          <w:color w:val="000000"/>
          <w:spacing w:val="0"/>
          <w:w w:val="100"/>
          <w:position w:val="0"/>
          <w:shd w:val="clear" w:color="auto" w:fill="auto"/>
          <w:lang w:val="en-US" w:eastAsia="en-US" w:bidi="en-US"/>
        </w:rPr>
        <w:t xml:space="preserve"> derives its energy. Here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bhakti, </w:t>
      </w:r>
      <w:r>
        <w:rPr>
          <w:rFonts w:ascii="Times New Roman" w:eastAsia="Times New Roman" w:hAnsi="Times New Roman" w:cs="Times New Roman"/>
          <w:color w:val="000000"/>
          <w:spacing w:val="0"/>
          <w:w w:val="100"/>
          <w:position w:val="0"/>
          <w:shd w:val="clear" w:color="auto" w:fill="auto"/>
          <w:lang w:val="en-US" w:eastAsia="en-US" w:bidi="en-US"/>
        </w:rPr>
        <w:t xml:space="preserve">devotion to God, is the saving element. A popular summary of the Vedãnta doctrine is the </w:t>
      </w:r>
      <w:r>
        <w:rPr>
          <w:rFonts w:ascii="Times New Roman" w:eastAsia="Times New Roman" w:hAnsi="Times New Roman" w:cs="Times New Roman"/>
          <w:i/>
          <w:iCs/>
          <w:color w:val="000000"/>
          <w:spacing w:val="0"/>
          <w:w w:val="100"/>
          <w:position w:val="0"/>
          <w:shd w:val="clear" w:color="auto" w:fill="auto"/>
          <w:lang w:val="en-US" w:eastAsia="en-US" w:bidi="en-US"/>
        </w:rPr>
        <w:t>Vedänta-sära</w:t>
      </w:r>
      <w:r>
        <w:rPr>
          <w:rFonts w:ascii="Times New Roman" w:eastAsia="Times New Roman" w:hAnsi="Times New Roman" w:cs="Times New Roman"/>
          <w:color w:val="000000"/>
          <w:spacing w:val="0"/>
          <w:w w:val="100"/>
          <w:position w:val="0"/>
          <w:shd w:val="clear" w:color="auto" w:fill="auto"/>
          <w:lang w:val="en-US" w:eastAsia="en-US" w:bidi="en-US"/>
        </w:rPr>
        <w:t xml:space="preserve"> by Sadananda, which has been frequently printed and translated.@@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The </w:t>
      </w:r>
      <w:r>
        <w:rPr>
          <w:rFonts w:ascii="Times New Roman" w:eastAsia="Times New Roman" w:hAnsi="Times New Roman" w:cs="Times New Roman"/>
          <w:i/>
          <w:iCs/>
          <w:color w:val="000000"/>
          <w:spacing w:val="0"/>
          <w:w w:val="100"/>
          <w:position w:val="0"/>
          <w:shd w:val="clear" w:color="auto" w:fill="auto"/>
          <w:lang w:val="en-US" w:eastAsia="en-US" w:bidi="en-US"/>
        </w:rPr>
        <w:t>Sänkhya@@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system seems to derive its name from its systematic enumeration </w:t>
      </w:r>
      <w:r>
        <w:rPr>
          <w:rFonts w:ascii="Times New Roman" w:eastAsia="Times New Roman" w:hAnsi="Times New Roman" w:cs="Times New Roman"/>
          <w:i/>
          <w:iCs/>
          <w:color w:val="000000"/>
          <w:spacing w:val="0"/>
          <w:w w:val="100"/>
          <w:position w:val="0"/>
          <w:shd w:val="clear" w:color="auto" w:fill="auto"/>
          <w:lang w:val="en-US" w:eastAsia="en-US" w:bidi="en-US"/>
        </w:rPr>
        <w:t>(sankhyä)</w:t>
      </w:r>
      <w:r>
        <w:rPr>
          <w:rFonts w:ascii="Times New Roman" w:eastAsia="Times New Roman" w:hAnsi="Times New Roman" w:cs="Times New Roman"/>
          <w:color w:val="000000"/>
          <w:spacing w:val="0"/>
          <w:w w:val="100"/>
          <w:position w:val="0"/>
          <w:shd w:val="clear" w:color="auto" w:fill="auto"/>
          <w:lang w:val="en-US" w:eastAsia="en-US" w:bidi="en-US"/>
        </w:rPr>
        <w:t xml:space="preserve"> of the twenty-five principles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(tattvd) </w:t>
      </w:r>
      <w:r>
        <w:rPr>
          <w:rFonts w:ascii="Times New Roman" w:eastAsia="Times New Roman" w:hAnsi="Times New Roman" w:cs="Times New Roman"/>
          <w:color w:val="000000"/>
          <w:spacing w:val="0"/>
          <w:w w:val="100"/>
          <w:position w:val="0"/>
          <w:shd w:val="clear" w:color="auto" w:fill="auto"/>
          <w:lang w:val="en-US" w:eastAsia="en-US" w:bidi="en-US"/>
        </w:rPr>
        <w:t xml:space="preserve">it recognizes—consisting of twenty-four material and an independent immaterial principle. In opposition to the Vedãnta school, which maintains the eternal </w:t>
      </w:r>
      <w:r>
        <w:rPr>
          <w:rFonts w:ascii="Times New Roman" w:eastAsia="Times New Roman" w:hAnsi="Times New Roman" w:cs="Times New Roman"/>
          <w:color w:val="000000"/>
          <w:spacing w:val="0"/>
          <w:w w:val="100"/>
          <w:position w:val="0"/>
          <w:shd w:val="clear" w:color="auto" w:fill="auto"/>
          <w:lang w:val="fr-FR" w:eastAsia="fr-FR" w:bidi="fr-FR"/>
        </w:rPr>
        <w:t xml:space="preserve">coexistence </w:t>
      </w:r>
      <w:r>
        <w:rPr>
          <w:rFonts w:ascii="Times New Roman" w:eastAsia="Times New Roman" w:hAnsi="Times New Roman" w:cs="Times New Roman"/>
          <w:color w:val="000000"/>
          <w:spacing w:val="0"/>
          <w:w w:val="100"/>
          <w:position w:val="0"/>
          <w:shd w:val="clear" w:color="auto" w:fill="auto"/>
          <w:lang w:val="en-US" w:eastAsia="en-US" w:bidi="en-US"/>
        </w:rPr>
        <w:t xml:space="preserve">of a spiritual principle of reality and an unspiritual principle of unreality, the Sãnkhya assumes the eternal coexistence of a material first cause, which it calls either </w:t>
      </w:r>
      <w:r>
        <w:rPr>
          <w:rFonts w:ascii="Times New Roman" w:eastAsia="Times New Roman" w:hAnsi="Times New Roman" w:cs="Times New Roman"/>
          <w:i/>
          <w:iCs/>
          <w:color w:val="000000"/>
          <w:spacing w:val="0"/>
          <w:w w:val="100"/>
          <w:position w:val="0"/>
          <w:shd w:val="clear" w:color="auto" w:fill="auto"/>
          <w:lang w:val="en-US" w:eastAsia="en-US" w:bidi="en-US"/>
        </w:rPr>
        <w:t>müla-Prakriti</w:t>
      </w:r>
      <w:r>
        <w:rPr>
          <w:rFonts w:ascii="Times New Roman" w:eastAsia="Times New Roman" w:hAnsi="Times New Roman" w:cs="Times New Roman"/>
          <w:color w:val="000000"/>
          <w:spacing w:val="0"/>
          <w:w w:val="100"/>
          <w:position w:val="0"/>
          <w:shd w:val="clear" w:color="auto" w:fill="auto"/>
          <w:lang w:val="en-US" w:eastAsia="en-US" w:bidi="en-US"/>
        </w:rPr>
        <w:t xml:space="preserve"> (fem.),“prime Originant” (Nature), or </w:t>
      </w:r>
      <w:r>
        <w:rPr>
          <w:rFonts w:ascii="Times New Roman" w:eastAsia="Times New Roman" w:hAnsi="Times New Roman" w:cs="Times New Roman"/>
          <w:i/>
          <w:iCs/>
          <w:color w:val="000000"/>
          <w:spacing w:val="0"/>
          <w:w w:val="100"/>
          <w:position w:val="0"/>
          <w:shd w:val="clear" w:color="auto" w:fill="auto"/>
          <w:lang w:val="en-US" w:eastAsia="en-US" w:bidi="en-US"/>
        </w:rPr>
        <w:t>Pradhäna,</w:t>
      </w:r>
      <w:r>
        <w:rPr>
          <w:rFonts w:ascii="Times New Roman" w:eastAsia="Times New Roman" w:hAnsi="Times New Roman" w:cs="Times New Roman"/>
          <w:color w:val="000000"/>
          <w:spacing w:val="0"/>
          <w:w w:val="100"/>
          <w:position w:val="0"/>
          <w:shd w:val="clear" w:color="auto" w:fill="auto"/>
          <w:lang w:val="en-US" w:eastAsia="en-US" w:bidi="en-US"/>
        </w:rPr>
        <w:t xml:space="preserve"> “ the principal ” cause, and a plurality of spiritual elements or Selves, </w:t>
      </w:r>
      <w:r>
        <w:rPr>
          <w:rFonts w:ascii="Times New Roman" w:eastAsia="Times New Roman" w:hAnsi="Times New Roman" w:cs="Times New Roman"/>
          <w:i/>
          <w:iCs/>
          <w:color w:val="000000"/>
          <w:spacing w:val="0"/>
          <w:w w:val="100"/>
          <w:position w:val="0"/>
          <w:shd w:val="clear" w:color="auto" w:fill="auto"/>
          <w:lang w:val="en-US" w:eastAsia="en-US" w:bidi="en-US"/>
        </w:rPr>
        <w:t>Purusha.</w:t>
      </w:r>
      <w:r>
        <w:rPr>
          <w:rFonts w:ascii="Times New Roman" w:eastAsia="Times New Roman" w:hAnsi="Times New Roman" w:cs="Times New Roman"/>
          <w:color w:val="000000"/>
          <w:spacing w:val="0"/>
          <w:w w:val="100"/>
          <w:position w:val="0"/>
          <w:shd w:val="clear" w:color="auto" w:fill="auto"/>
          <w:lang w:val="en-US" w:eastAsia="en-US" w:bidi="en-US"/>
        </w:rPr>
        <w:t xml:space="preserve"> The system recognizes no intelligent creator (such as the </w:t>
      </w:r>
      <w:r>
        <w:rPr>
          <w:rFonts w:ascii="Times New Roman" w:eastAsia="Times New Roman" w:hAnsi="Times New Roman" w:cs="Times New Roman"/>
          <w:i/>
          <w:iCs/>
          <w:color w:val="000000"/>
          <w:spacing w:val="0"/>
          <w:w w:val="100"/>
          <w:position w:val="0"/>
          <w:shd w:val="clear" w:color="auto" w:fill="auto"/>
          <w:lang w:val="en-US" w:eastAsia="en-US" w:bidi="en-US"/>
        </w:rPr>
        <w:t>Isvara,</w:t>
      </w:r>
      <w:r>
        <w:rPr>
          <w:rFonts w:ascii="Times New Roman" w:eastAsia="Times New Roman" w:hAnsi="Times New Roman" w:cs="Times New Roman"/>
          <w:color w:val="000000"/>
          <w:spacing w:val="0"/>
          <w:w w:val="100"/>
          <w:position w:val="0"/>
          <w:shd w:val="clear" w:color="auto" w:fill="auto"/>
          <w:lang w:val="en-US" w:eastAsia="en-US" w:bidi="en-US"/>
        </w:rPr>
        <w:t xml:space="preserve"> or demiurgus, of the Vedãnta)—whence it is called </w:t>
      </w:r>
      <w:r>
        <w:rPr>
          <w:rFonts w:ascii="Times New Roman" w:eastAsia="Times New Roman" w:hAnsi="Times New Roman" w:cs="Times New Roman"/>
          <w:i/>
          <w:iCs/>
          <w:color w:val="000000"/>
          <w:spacing w:val="0"/>
          <w:w w:val="100"/>
          <w:position w:val="0"/>
          <w:shd w:val="clear" w:color="auto" w:fill="auto"/>
          <w:lang w:val="en-US" w:eastAsia="en-US" w:bidi="en-US"/>
        </w:rPr>
        <w:t>niñévara,</w:t>
      </w:r>
      <w:r>
        <w:rPr>
          <w:rFonts w:ascii="Times New Roman" w:eastAsia="Times New Roman" w:hAnsi="Times New Roman" w:cs="Times New Roman"/>
          <w:color w:val="000000"/>
          <w:spacing w:val="0"/>
          <w:w w:val="100"/>
          <w:position w:val="0"/>
          <w:shd w:val="clear" w:color="auto" w:fill="auto"/>
          <w:lang w:val="en-US" w:eastAsia="en-US" w:bidi="en-US"/>
        </w:rPr>
        <w:t xml:space="preserve"> godless; but it conceives the Material First Cause, itself unintelligent, to have become developed, by a gradual process of evolution, into all the actual forms of the phenomenal universe, excepting the souls. Its first emanation is </w:t>
      </w:r>
      <w:r>
        <w:rPr>
          <w:rFonts w:ascii="Times New Roman" w:eastAsia="Times New Roman" w:hAnsi="Times New Roman" w:cs="Times New Roman"/>
          <w:i/>
          <w:iCs/>
          <w:color w:val="000000"/>
          <w:spacing w:val="0"/>
          <w:w w:val="100"/>
          <w:position w:val="0"/>
          <w:shd w:val="clear" w:color="auto" w:fill="auto"/>
          <w:lang w:val="en-US" w:eastAsia="en-US" w:bidi="en-US"/>
        </w:rPr>
        <w:t>buddhi,</w:t>
      </w:r>
      <w:r>
        <w:rPr>
          <w:rFonts w:ascii="Times New Roman" w:eastAsia="Times New Roman" w:hAnsi="Times New Roman" w:cs="Times New Roman"/>
          <w:color w:val="000000"/>
          <w:spacing w:val="0"/>
          <w:w w:val="100"/>
          <w:position w:val="0"/>
          <w:shd w:val="clear" w:color="auto" w:fill="auto"/>
          <w:lang w:val="en-US" w:eastAsia="en-US" w:bidi="en-US"/>
        </w:rPr>
        <w:t xml:space="preserve"> intelligence; whence springs </w:t>
      </w:r>
      <w:r>
        <w:rPr>
          <w:rFonts w:ascii="Times New Roman" w:eastAsia="Times New Roman" w:hAnsi="Times New Roman" w:cs="Times New Roman"/>
          <w:i/>
          <w:iCs/>
          <w:color w:val="000000"/>
          <w:spacing w:val="0"/>
          <w:w w:val="100"/>
          <w:position w:val="0"/>
          <w:shd w:val="clear" w:color="auto" w:fill="auto"/>
          <w:lang w:val="en-US" w:eastAsia="en-US" w:bidi="en-US"/>
        </w:rPr>
        <w:t>ahamkära,</w:t>
      </w:r>
      <w:r>
        <w:rPr>
          <w:rFonts w:ascii="Times New Roman" w:eastAsia="Times New Roman" w:hAnsi="Times New Roman" w:cs="Times New Roman"/>
          <w:color w:val="000000"/>
          <w:spacing w:val="0"/>
          <w:w w:val="100"/>
          <w:position w:val="0"/>
          <w:shd w:val="clear" w:color="auto" w:fill="auto"/>
          <w:lang w:val="en-US" w:eastAsia="en-US" w:bidi="en-US"/>
        </w:rPr>
        <w:t xml:space="preserve"> consciousness (or “ conscious mind-matter,” Davies) ; thence the subtle elements of material forms, viz. five elementary particles </w:t>
      </w:r>
      <w:r>
        <w:rPr>
          <w:rFonts w:ascii="Times New Roman" w:eastAsia="Times New Roman" w:hAnsi="Times New Roman" w:cs="Times New Roman"/>
          <w:i/>
          <w:iCs/>
          <w:color w:val="000000"/>
          <w:spacing w:val="0"/>
          <w:w w:val="100"/>
          <w:position w:val="0"/>
          <w:shd w:val="clear" w:color="auto" w:fill="auto"/>
          <w:lang w:val="en-US" w:eastAsia="en-US" w:bidi="en-US"/>
        </w:rPr>
        <w:t>(tanmätra)</w:t>
      </w:r>
      <w:r>
        <w:rPr>
          <w:rFonts w:ascii="Times New Roman" w:eastAsia="Times New Roman" w:hAnsi="Times New Roman" w:cs="Times New Roman"/>
          <w:color w:val="000000"/>
          <w:spacing w:val="0"/>
          <w:w w:val="100"/>
          <w:position w:val="0"/>
          <w:shd w:val="clear" w:color="auto" w:fill="auto"/>
          <w:lang w:val="en-US" w:eastAsia="en-US" w:bidi="en-US"/>
        </w:rPr>
        <w:t xml:space="preserve"> and eleven organs of sense; and finally, from the elementary particles, five elements. The souls have from all eternity been connected with Nature,—having in the first place become invested with a subtle frame </w:t>
      </w:r>
      <w:r>
        <w:rPr>
          <w:rFonts w:ascii="Times New Roman" w:eastAsia="Times New Roman" w:hAnsi="Times New Roman" w:cs="Times New Roman"/>
          <w:i/>
          <w:iCs/>
          <w:color w:val="000000"/>
          <w:spacing w:val="0"/>
          <w:w w:val="100"/>
          <w:position w:val="0"/>
          <w:shd w:val="clear" w:color="auto" w:fill="auto"/>
          <w:lang w:val="en-US" w:eastAsia="en-US" w:bidi="en-US"/>
        </w:rPr>
        <w:t>(linga-,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sükshma-, éañra),</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seventeen principles, viz. intelligence, consciousness, elementary particles, and organs of sense and action, including mind. To account for the spontaneous development of matter, the system assumes the latter to consist of three constituents (</w:t>
      </w:r>
      <w:r>
        <w:rPr>
          <w:rFonts w:ascii="Times New Roman" w:eastAsia="Times New Roman" w:hAnsi="Times New Roman" w:cs="Times New Roman"/>
          <w:i/>
          <w:iCs/>
          <w:color w:val="000000"/>
          <w:spacing w:val="0"/>
          <w:w w:val="100"/>
          <w:position w:val="0"/>
          <w:shd w:val="clear" w:color="auto" w:fill="auto"/>
          <w:lang w:val="en-US" w:eastAsia="en-US" w:bidi="en-US"/>
        </w:rPr>
        <w:t>guna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possessed of different qualities, viz. </w:t>
      </w:r>
      <w:r>
        <w:rPr>
          <w:rFonts w:ascii="Times New Roman" w:eastAsia="Times New Roman" w:hAnsi="Times New Roman" w:cs="Times New Roman"/>
          <w:i/>
          <w:iCs/>
          <w:color w:val="000000"/>
          <w:spacing w:val="0"/>
          <w:w w:val="100"/>
          <w:position w:val="0"/>
          <w:shd w:val="clear" w:color="auto" w:fill="auto"/>
          <w:lang w:val="en-US" w:eastAsia="en-US" w:bidi="en-US"/>
        </w:rPr>
        <w:t>sattva,</w:t>
      </w:r>
      <w:r>
        <w:rPr>
          <w:rFonts w:ascii="Times New Roman" w:eastAsia="Times New Roman" w:hAnsi="Times New Roman" w:cs="Times New Roman"/>
          <w:color w:val="000000"/>
          <w:spacing w:val="0"/>
          <w:w w:val="100"/>
          <w:position w:val="0"/>
          <w:shd w:val="clear" w:color="auto" w:fill="auto"/>
          <w:lang w:val="en-US" w:eastAsia="en-US" w:bidi="en-US"/>
        </w:rPr>
        <w:t xml:space="preserve"> of pleasing qualities, such as “ goodness,” lightness, luminosity; </w:t>
      </w:r>
      <w:r>
        <w:rPr>
          <w:rFonts w:ascii="Times New Roman" w:eastAsia="Times New Roman" w:hAnsi="Times New Roman" w:cs="Times New Roman"/>
          <w:i/>
          <w:iCs/>
          <w:color w:val="000000"/>
          <w:spacing w:val="0"/>
          <w:w w:val="100"/>
          <w:position w:val="0"/>
          <w:shd w:val="clear" w:color="auto" w:fill="auto"/>
          <w:lang w:val="en-US" w:eastAsia="en-US" w:bidi="en-US"/>
        </w:rPr>
        <w:t>rajas,</w:t>
      </w:r>
      <w:r>
        <w:rPr>
          <w:rFonts w:ascii="Times New Roman" w:eastAsia="Times New Roman" w:hAnsi="Times New Roman" w:cs="Times New Roman"/>
          <w:color w:val="000000"/>
          <w:spacing w:val="0"/>
          <w:w w:val="100"/>
          <w:position w:val="0"/>
          <w:shd w:val="clear" w:color="auto" w:fill="auto"/>
          <w:lang w:val="en-US" w:eastAsia="en-US" w:bidi="en-US"/>
        </w:rPr>
        <w:t xml:space="preserve"> of pain-giving qualities, such as “gloom,” passion, activity; and </w:t>
      </w:r>
      <w:r>
        <w:rPr>
          <w:rFonts w:ascii="Times New Roman" w:eastAsia="Times New Roman" w:hAnsi="Times New Roman" w:cs="Times New Roman"/>
          <w:i/>
          <w:iCs/>
          <w:color w:val="000000"/>
          <w:spacing w:val="0"/>
          <w:w w:val="100"/>
          <w:position w:val="0"/>
          <w:shd w:val="clear" w:color="auto" w:fill="auto"/>
          <w:lang w:val="en-US" w:eastAsia="en-US" w:bidi="en-US"/>
        </w:rPr>
        <w:t>tamas,</w:t>
      </w:r>
      <w:r>
        <w:rPr>
          <w:rFonts w:ascii="Times New Roman" w:eastAsia="Times New Roman" w:hAnsi="Times New Roman" w:cs="Times New Roman"/>
          <w:color w:val="000000"/>
          <w:spacing w:val="0"/>
          <w:w w:val="100"/>
          <w:position w:val="0"/>
          <w:shd w:val="clear" w:color="auto" w:fill="auto"/>
          <w:lang w:val="en-US" w:eastAsia="en-US" w:bidi="en-US"/>
        </w:rPr>
        <w:t xml:space="preserve"> of deadening qualities, such as “ darkness,” rigidity, dullness, and which, if not in a state of equipoise, cause unrest and development. Through all this course of development, the soul itself remains perfectly indifferent, its sole properties being those of purity and intelligence, and the functions usually regarded as “ psychic ” being due to the mechanical processes of the internal organs themselves evolved out of inanimate matter. Invested with its subtle frame, which accompanies it through the cycle of transmigration, the soul, for the sake of fruition, connects itself ever anew with Nature, thus, as it were, creating for itself ever new forms of material existence; and it is only on his attaining perfect knowledge, whereby the ever-changing modes of intelligence cease to be reflected on him, that the Purusha is liberated from the miseries of Saipsãra, and continues to exist in a state of absolute unconsciousness and detachment from matter. The existence of God, on the other hand, is denied by this theory, or rather considered as incapable of proof; the existence of evil and misery, for one thing, being thought incompatible with the notion of a divine origin of the world.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reputed originator of this school is the sage Kapila, to whom tradition ascribes the composition of the fundamental text-book,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vi. 2. 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Die Sutras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Vedanta,</w:t>
      </w:r>
      <w:r>
        <w:rPr>
          <w:rFonts w:ascii="Times New Roman" w:eastAsia="Times New Roman" w:hAnsi="Times New Roman" w:cs="Times New Roman"/>
          <w:color w:val="000000"/>
          <w:spacing w:val="0"/>
          <w:w w:val="100"/>
          <w:position w:val="0"/>
          <w:shd w:val="clear" w:color="auto" w:fill="auto"/>
          <w:lang w:val="en-US" w:eastAsia="en-US" w:bidi="en-US"/>
        </w:rPr>
        <w:t xml:space="preserve"> text and commentary translated by P. Deusβen (Leipzig, 1887); English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G. Thibaut, </w:t>
      </w:r>
      <w:r>
        <w:rPr>
          <w:rFonts w:ascii="Times New Roman" w:eastAsia="Times New Roman" w:hAnsi="Times New Roman" w:cs="Times New Roman"/>
          <w:i/>
          <w:iCs/>
          <w:color w:val="000000"/>
          <w:spacing w:val="0"/>
          <w:w w:val="100"/>
          <w:position w:val="0"/>
          <w:shd w:val="clear" w:color="auto" w:fill="auto"/>
          <w:lang w:val="en-US" w:eastAsia="en-US" w:bidi="en-US"/>
        </w:rPr>
        <w:t>S.B.E.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 Deussen,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System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Vedanta</w:t>
      </w:r>
      <w:r>
        <w:rPr>
          <w:rFonts w:ascii="Times New Roman" w:eastAsia="Times New Roman" w:hAnsi="Times New Roman" w:cs="Times New Roman"/>
          <w:color w:val="000000"/>
          <w:spacing w:val="0"/>
          <w:w w:val="100"/>
          <w:position w:val="0"/>
          <w:shd w:val="clear" w:color="auto" w:fill="auto"/>
          <w:lang w:val="en-US" w:eastAsia="en-US" w:bidi="en-US"/>
        </w:rPr>
        <w:t xml:space="preserve"> (1883). A. E. Gough, </w:t>
      </w:r>
      <w:r>
        <w:rPr>
          <w:rFonts w:ascii="Times New Roman" w:eastAsia="Times New Roman" w:hAnsi="Times New Roman" w:cs="Times New Roman"/>
          <w:i/>
          <w:iCs/>
          <w:color w:val="000000"/>
          <w:spacing w:val="0"/>
          <w:w w:val="100"/>
          <w:position w:val="0"/>
          <w:shd w:val="clear" w:color="auto" w:fill="auto"/>
          <w:lang w:val="en-US" w:eastAsia="en-US" w:bidi="en-US"/>
        </w:rPr>
        <w:t>The Philosophy of the Upanishads,</w:t>
      </w:r>
      <w:r>
        <w:rPr>
          <w:rFonts w:ascii="Times New Roman" w:eastAsia="Times New Roman" w:hAnsi="Times New Roman" w:cs="Times New Roman"/>
          <w:color w:val="000000"/>
          <w:spacing w:val="0"/>
          <w:w w:val="100"/>
          <w:position w:val="0"/>
          <w:shd w:val="clear" w:color="auto" w:fill="auto"/>
          <w:lang w:val="en-US" w:eastAsia="en-US" w:bidi="en-US"/>
        </w:rPr>
        <w:t xml:space="preserve"> also follows chiefly Sankara’s interpretation.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Brahmasutra,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iii. I. 32-34.</w:t>
      </w:r>
    </w:p>
    <w:p>
      <w:pPr>
        <w:pStyle w:val="Style3"/>
        <w:keepNext w:val="0"/>
        <w:keepLines w:val="0"/>
        <w:widowControl w:val="0"/>
        <w:shd w:val="clear" w:color="auto" w:fill="auto"/>
        <w:tabs>
          <w:tab w:pos="2948"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w:t>
      </w:r>
      <w:r>
        <w:rPr>
          <w:rFonts w:ascii="Times New Roman" w:eastAsia="Times New Roman" w:hAnsi="Times New Roman" w:cs="Times New Roman"/>
          <w:color w:val="000000"/>
          <w:spacing w:val="0"/>
          <w:w w:val="100"/>
          <w:position w:val="0"/>
          <w:shd w:val="clear" w:color="auto" w:fill="auto"/>
          <w:lang w:val="fr-FR" w:eastAsia="fr-FR" w:bidi="fr-FR"/>
        </w:rPr>
        <w:t>G. Thibaut,</w:t>
        <w:tab/>
      </w:r>
      <w:r>
        <w:rPr>
          <w:rFonts w:ascii="Times New Roman" w:eastAsia="Times New Roman" w:hAnsi="Times New Roman" w:cs="Times New Roman"/>
          <w:color w:val="000000"/>
          <w:spacing w:val="0"/>
          <w:w w:val="100"/>
          <w:position w:val="0"/>
          <w:shd w:val="clear" w:color="auto" w:fill="auto"/>
          <w:lang w:val="en-US" w:eastAsia="en-US" w:bidi="en-US"/>
        </w:rPr>
        <w:t>German, P. Deussen.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Cowell assigns him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about the 10th century.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hd w:val="clear" w:color="auto" w:fill="auto"/>
          <w:lang w:val="en-US" w:eastAsia="en-US" w:bidi="en-US"/>
        </w:rPr>
        <w:t xml:space="preserve"> Bibl. Ind.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Text, with Svapnesvara’s commentary, edited by J. R. Ballantyne; translated by E. B. Cowell.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Last by G. A. Jacob.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E. Röer, </w:t>
      </w:r>
      <w:r>
        <w:rPr>
          <w:rFonts w:ascii="Times New Roman" w:eastAsia="Times New Roman" w:hAnsi="Times New Roman" w:cs="Times New Roman"/>
          <w:i/>
          <w:iCs/>
          <w:color w:val="000000"/>
          <w:spacing w:val="0"/>
          <w:w w:val="100"/>
          <w:position w:val="0"/>
          <w:shd w:val="clear" w:color="auto" w:fill="auto"/>
          <w:lang w:val="en-US" w:eastAsia="en-US" w:bidi="en-US"/>
        </w:rPr>
        <w:t>Lecture on the Sãnkhya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(Calcutta, 1854) ; B. St Hilaire,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 sur le </w:t>
      </w:r>
      <w:r>
        <w:rPr>
          <w:rFonts w:ascii="Times New Roman" w:eastAsia="Times New Roman" w:hAnsi="Times New Roman" w:cs="Times New Roman"/>
          <w:i/>
          <w:iCs/>
          <w:color w:val="000000"/>
          <w:spacing w:val="0"/>
          <w:w w:val="100"/>
          <w:position w:val="0"/>
          <w:shd w:val="clear" w:color="auto" w:fill="auto"/>
          <w:lang w:val="en-US" w:eastAsia="en-US" w:bidi="en-US"/>
        </w:rPr>
        <w:t>Sãnkhya</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(1852);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Sankhya </w:t>
      </w:r>
      <w:r>
        <w:rPr>
          <w:rFonts w:ascii="Times New Roman" w:eastAsia="Times New Roman" w:hAnsi="Times New Roman" w:cs="Times New Roman"/>
          <w:i/>
          <w:iCs/>
          <w:color w:val="000000"/>
          <w:spacing w:val="0"/>
          <w:w w:val="100"/>
          <w:position w:val="0"/>
          <w:shd w:val="clear" w:color="auto" w:fill="auto"/>
          <w:lang w:val="de-DE" w:eastAsia="de-DE" w:bidi="de-DE"/>
        </w:rPr>
        <w:t>Philosophie</w:t>
      </w:r>
      <w:r>
        <w:rPr>
          <w:rFonts w:ascii="Times New Roman" w:eastAsia="Times New Roman" w:hAnsi="Times New Roman" w:cs="Times New Roman"/>
          <w:b/>
          <w:bCs/>
          <w:color w:val="000000"/>
          <w:spacing w:val="0"/>
          <w:w w:val="100"/>
          <w:position w:val="0"/>
          <w:sz w:val="16"/>
          <w:szCs w:val="16"/>
          <w:shd w:val="clear" w:color="auto" w:fill="auto"/>
          <w:lang w:val="de-DE" w:eastAsia="de-DE" w:bidi="de-DE"/>
        </w:rPr>
        <w:t xml:space="preserve"> (Leipzig,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1894); </w:t>
      </w:r>
      <w:r>
        <w:rPr>
          <w:rFonts w:ascii="Times New Roman" w:eastAsia="Times New Roman" w:hAnsi="Times New Roman" w:cs="Times New Roman"/>
          <w:i/>
          <w:iCs/>
          <w:color w:val="000000"/>
          <w:spacing w:val="0"/>
          <w:w w:val="100"/>
          <w:position w:val="0"/>
          <w:shd w:val="clear" w:color="auto" w:fill="auto"/>
          <w:lang w:val="en-US" w:eastAsia="en-US" w:bidi="en-US"/>
        </w:rPr>
        <w:t xml:space="preserve">Sãnkhya </w:t>
      </w:r>
      <w:r>
        <w:rPr>
          <w:rFonts w:ascii="Times New Roman" w:eastAsia="Times New Roman" w:hAnsi="Times New Roman" w:cs="Times New Roman"/>
          <w:i/>
          <w:iCs/>
          <w:color w:val="000000"/>
          <w:spacing w:val="0"/>
          <w:w w:val="100"/>
          <w:position w:val="0"/>
          <w:shd w:val="clear" w:color="auto" w:fill="auto"/>
          <w:lang w:val="de-DE" w:eastAsia="de-DE" w:bidi="de-DE"/>
        </w:rPr>
        <w:t>and Yoga</w:t>
      </w:r>
      <w:r>
        <w:rPr>
          <w:rFonts w:ascii="Times New Roman" w:eastAsia="Times New Roman" w:hAnsi="Times New Roman" w:cs="Times New Roman"/>
          <w:color w:val="000000"/>
          <w:spacing w:val="0"/>
          <w:w w:val="100"/>
          <w:position w:val="0"/>
          <w:shd w:val="clear" w:color="auto" w:fill="auto"/>
          <w:lang w:val="de-DE" w:eastAsia="de-DE" w:bidi="de-DE"/>
        </w:rPr>
        <w:t xml:space="preserve"> (Strassburg, </w:t>
      </w:r>
      <w:r>
        <w:rPr>
          <w:rFonts w:ascii="Times New Roman" w:eastAsia="Times New Roman" w:hAnsi="Times New Roman" w:cs="Times New Roman"/>
          <w:color w:val="000000"/>
          <w:spacing w:val="0"/>
          <w:w w:val="100"/>
          <w:position w:val="0"/>
          <w:shd w:val="clear" w:color="auto" w:fill="auto"/>
          <w:lang w:val="en-US" w:eastAsia="en-US" w:bidi="en-US"/>
        </w:rPr>
        <w:t>1896).</w:t>
      </w:r>
    </w:p>
    <w:p>
      <w:pPr>
        <w:widowControl w:val="0"/>
        <w:spacing w:line="1" w:lineRule="exact"/>
      </w:pPr>
    </w:p>
    <w:sectPr>
      <w:footnotePr>
        <w:pos w:val="pageBottom"/>
        <w:numFmt w:val="decimal"/>
        <w:numRestart w:val="continuous"/>
      </w:footnotePr>
      <w:type w:val="continuous"/>
      <w:pgSz w:w="12240" w:h="15840"/>
      <w:pgMar w:top="880" w:left="774" w:right="1110" w:bottom="7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