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a more practical system of arrangement—the principal heads under which the grammatical matter was distributed usually being : rules of euphony </w:t>
      </w:r>
      <w:r>
        <w:rPr>
          <w:rFonts w:ascii="Times New Roman" w:eastAsia="Times New Roman" w:hAnsi="Times New Roman" w:cs="Times New Roman"/>
          <w:i/>
          <w:iCs/>
          <w:color w:val="000000"/>
          <w:spacing w:val="0"/>
          <w:w w:val="100"/>
          <w:position w:val="0"/>
          <w:shd w:val="clear" w:color="auto" w:fill="auto"/>
          <w:lang w:val="en-US" w:eastAsia="en-US" w:bidi="en-US"/>
        </w:rPr>
        <w:t>(sandhi)</w:t>
      </w:r>
      <w:r>
        <w:rPr>
          <w:rFonts w:ascii="Times New Roman" w:eastAsia="Times New Roman" w:hAnsi="Times New Roman" w:cs="Times New Roman"/>
          <w:color w:val="000000"/>
          <w:spacing w:val="0"/>
          <w:w w:val="100"/>
          <w:position w:val="0"/>
          <w:shd w:val="clear" w:color="auto" w:fill="auto"/>
          <w:lang w:val="en-US" w:eastAsia="en-US" w:bidi="en-US"/>
        </w:rPr>
        <w:t xml:space="preserve"> ; inflection of nouns </w:t>
      </w:r>
      <w:r>
        <w:rPr>
          <w:rFonts w:ascii="Times New Roman" w:eastAsia="Times New Roman" w:hAnsi="Times New Roman" w:cs="Times New Roman"/>
          <w:i/>
          <w:iCs/>
          <w:color w:val="000000"/>
          <w:spacing w:val="0"/>
          <w:w w:val="100"/>
          <w:position w:val="0"/>
          <w:shd w:val="clear" w:color="auto" w:fill="auto"/>
          <w:lang w:val="en-US" w:eastAsia="en-US" w:bidi="en-US"/>
        </w:rPr>
        <w:t>(näman),</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including composition and secondary derivatives; the verb </w:t>
      </w:r>
      <w:r>
        <w:rPr>
          <w:rFonts w:ascii="Times New Roman" w:eastAsia="Times New Roman" w:hAnsi="Times New Roman" w:cs="Times New Roman"/>
          <w:i/>
          <w:iCs/>
          <w:color w:val="000000"/>
          <w:spacing w:val="0"/>
          <w:w w:val="100"/>
          <w:position w:val="0"/>
          <w:shd w:val="clear" w:color="auto" w:fill="auto"/>
          <w:lang w:val="en-US" w:eastAsia="en-US" w:bidi="en-US"/>
        </w:rPr>
        <w:t>(äkkyäta);</w:t>
      </w:r>
      <w:r>
        <w:rPr>
          <w:rFonts w:ascii="Times New Roman" w:eastAsia="Times New Roman" w:hAnsi="Times New Roman" w:cs="Times New Roman"/>
          <w:color w:val="000000"/>
          <w:spacing w:val="0"/>
          <w:w w:val="100"/>
          <w:position w:val="0"/>
          <w:shd w:val="clear" w:color="auto" w:fill="auto"/>
          <w:lang w:val="en-US" w:eastAsia="en-US" w:bidi="en-US"/>
        </w:rPr>
        <w:t xml:space="preserve"> and primary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(krid-anta) </w:t>
      </w:r>
      <w:r>
        <w:rPr>
          <w:rFonts w:ascii="Times New Roman" w:eastAsia="Times New Roman" w:hAnsi="Times New Roman" w:cs="Times New Roman"/>
          <w:color w:val="000000"/>
          <w:spacing w:val="0"/>
          <w:w w:val="100"/>
          <w:position w:val="0"/>
          <w:shd w:val="clear" w:color="auto" w:fill="auto"/>
          <w:lang w:val="en-US" w:eastAsia="en-US" w:bidi="en-US"/>
        </w:rPr>
        <w:t>derivatives. In this way a number of grammatical schools@@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sprang up at different times, each recognizing a special set of Sutras, round which gradually gathered a more or less numerous body of commentatorial and subsidiary treatises. As regards the grammatical material itself, these later grammars supply comparatively little that is not already contained in the older works—the difference being mainly one of method, and partly of terminology, including modifi- cations of the system of technical letters </w:t>
      </w:r>
      <w:r>
        <w:rPr>
          <w:rFonts w:ascii="Times New Roman" w:eastAsia="Times New Roman" w:hAnsi="Times New Roman" w:cs="Times New Roman"/>
          <w:i/>
          <w:iCs/>
          <w:color w:val="000000"/>
          <w:spacing w:val="0"/>
          <w:w w:val="100"/>
          <w:position w:val="0"/>
          <w:shd w:val="clear" w:color="auto" w:fill="auto"/>
          <w:lang w:val="en-US" w:eastAsia="en-US" w:bidi="en-US"/>
        </w:rPr>
        <w:t>(anubandha),</w:t>
      </w:r>
      <w:r>
        <w:rPr>
          <w:rFonts w:ascii="Times New Roman" w:eastAsia="Times New Roman" w:hAnsi="Times New Roman" w:cs="Times New Roman"/>
          <w:color w:val="000000"/>
          <w:spacing w:val="0"/>
          <w:w w:val="100"/>
          <w:position w:val="0"/>
          <w:shd w:val="clear" w:color="auto" w:fill="auto"/>
          <w:lang w:val="en-US" w:eastAsia="en-US" w:bidi="en-US"/>
        </w:rPr>
        <w:t xml:space="preserve"> Of the grammars of this description hitherto known, the </w:t>
      </w:r>
      <w:r>
        <w:rPr>
          <w:rFonts w:ascii="Times New Roman" w:eastAsia="Times New Roman" w:hAnsi="Times New Roman" w:cs="Times New Roman"/>
          <w:i/>
          <w:iCs/>
          <w:color w:val="000000"/>
          <w:spacing w:val="0"/>
          <w:w w:val="100"/>
          <w:position w:val="0"/>
          <w:shd w:val="clear" w:color="auto" w:fill="auto"/>
          <w:lang w:val="en-US" w:eastAsia="en-US" w:bidi="en-US"/>
        </w:rPr>
        <w:t>Chandra- υyakarana</w:t>
      </w:r>
      <w:r>
        <w:rPr>
          <w:rFonts w:ascii="Times New Roman" w:eastAsia="Times New Roman" w:hAnsi="Times New Roman" w:cs="Times New Roman"/>
          <w:color w:val="000000"/>
          <w:spacing w:val="0"/>
          <w:w w:val="100"/>
          <w:position w:val="0"/>
          <w:shd w:val="clear" w:color="auto" w:fill="auto"/>
          <w:lang w:val="en-US" w:eastAsia="en-US" w:bidi="en-US"/>
        </w:rPr>
        <w:t xml:space="preserve"> is probably the oldest—its author Chandra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Ãchãrya having flourished under King Abhimanyu of Kashmir, who is supposed to have lived towards the end of the 2nd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and in whose reign that grammarian is stated, along with others, to have revived the study of the Mahãbhãshya in Kashmir. Only portions of this grammar, with a commentary by Änandadatta, nave, however, as yet been recovered.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Kãtantra,@@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Käläpa,</w:t>
      </w:r>
      <w:r>
        <w:rPr>
          <w:rFonts w:ascii="Times New Roman" w:eastAsia="Times New Roman" w:hAnsi="Times New Roman" w:cs="Times New Roman"/>
          <w:color w:val="000000"/>
          <w:spacing w:val="0"/>
          <w:w w:val="100"/>
          <w:position w:val="0"/>
          <w:shd w:val="clear" w:color="auto" w:fill="auto"/>
          <w:lang w:val="en-US" w:eastAsia="en-US" w:bidi="en-US"/>
        </w:rPr>
        <w:t xml:space="preserve"> is ascribed to Kumãra, the god of war, whence this school is also sometimes called </w:t>
      </w:r>
      <w:r>
        <w:rPr>
          <w:rFonts w:ascii="Times New Roman" w:eastAsia="Times New Roman" w:hAnsi="Times New Roman" w:cs="Times New Roman"/>
          <w:i/>
          <w:iCs/>
          <w:color w:val="000000"/>
          <w:spacing w:val="0"/>
          <w:w w:val="100"/>
          <w:position w:val="0"/>
          <w:shd w:val="clear" w:color="auto" w:fill="auto"/>
          <w:lang w:val="de-DE" w:eastAsia="de-DE" w:bidi="de-DE"/>
        </w:rPr>
        <w:t>Kaumära.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real author probably was Sarva-varman, who also wrote the original commentary </w:t>
      </w:r>
      <w:r>
        <w:rPr>
          <w:rFonts w:ascii="Times New Roman" w:eastAsia="Times New Roman" w:hAnsi="Times New Roman" w:cs="Times New Roman"/>
          <w:i/>
          <w:iCs/>
          <w:color w:val="000000"/>
          <w:spacing w:val="0"/>
          <w:w w:val="100"/>
          <w:position w:val="0"/>
          <w:shd w:val="clear" w:color="auto" w:fill="auto"/>
          <w:lang w:val="en-US" w:eastAsia="en-US" w:bidi="en-US"/>
        </w:rPr>
        <w:t>(vritti),</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afterwards recast by Durgasimha, and again commented upon by the same writer, and subsequently by Trilochana-dãsa. The date of the Kãtantra is unknown, but it will probably have to be assigned to about the 6th or 7th century. It is still used in many parts of India, especially in Bengal and Kashmir. Other_ grammars are—the </w:t>
      </w:r>
      <w:r>
        <w:rPr>
          <w:rFonts w:ascii="Times New Roman" w:eastAsia="Times New Roman" w:hAnsi="Times New Roman" w:cs="Times New Roman"/>
          <w:i/>
          <w:iCs/>
          <w:color w:val="000000"/>
          <w:spacing w:val="0"/>
          <w:w w:val="100"/>
          <w:position w:val="0"/>
          <w:shd w:val="clear" w:color="auto" w:fill="auto"/>
          <w:lang w:val="en-US" w:eastAsia="en-US" w:bidi="en-US"/>
        </w:rPr>
        <w:t>Särasvati Prakriyä,</w:t>
      </w:r>
      <w:r>
        <w:rPr>
          <w:rFonts w:ascii="Times New Roman" w:eastAsia="Times New Roman" w:hAnsi="Times New Roman" w:cs="Times New Roman"/>
          <w:color w:val="000000"/>
          <w:spacing w:val="0"/>
          <w:w w:val="100"/>
          <w:position w:val="0"/>
          <w:shd w:val="clear" w:color="auto" w:fill="auto"/>
          <w:lang w:val="en-US" w:eastAsia="en-US" w:bidi="en-US"/>
        </w:rPr>
        <w:t xml:space="preserve"> by Anubhuti Svarüpãchãrya; the </w:t>
      </w:r>
      <w:r>
        <w:rPr>
          <w:rFonts w:ascii="Times New Roman" w:eastAsia="Times New Roman" w:hAnsi="Times New Roman" w:cs="Times New Roman"/>
          <w:i/>
          <w:iCs/>
          <w:color w:val="000000"/>
          <w:spacing w:val="0"/>
          <w:w w:val="100"/>
          <w:position w:val="0"/>
          <w:shd w:val="clear" w:color="auto" w:fill="auto"/>
          <w:lang w:val="en-US" w:eastAsia="en-US" w:bidi="en-US"/>
        </w:rPr>
        <w:t>Sankshipta-sära,</w:t>
      </w:r>
      <w:r>
        <w:rPr>
          <w:rFonts w:ascii="Times New Roman" w:eastAsia="Times New Roman" w:hAnsi="Times New Roman" w:cs="Times New Roman"/>
          <w:color w:val="000000"/>
          <w:spacing w:val="0"/>
          <w:w w:val="100"/>
          <w:position w:val="0"/>
          <w:shd w:val="clear" w:color="auto" w:fill="auto"/>
          <w:lang w:val="en-US" w:eastAsia="en-US" w:bidi="en-US"/>
        </w:rPr>
        <w:t xml:space="preserve"> com- posed by Kramadïsvara, and corrected by Jumara-nandin, whence it is also called </w:t>
      </w:r>
      <w:r>
        <w:rPr>
          <w:rFonts w:ascii="Times New Roman" w:eastAsia="Times New Roman" w:hAnsi="Times New Roman" w:cs="Times New Roman"/>
          <w:i/>
          <w:iCs/>
          <w:color w:val="000000"/>
          <w:spacing w:val="0"/>
          <w:w w:val="100"/>
          <w:position w:val="0"/>
          <w:shd w:val="clear" w:color="auto" w:fill="auto"/>
          <w:lang w:val="en-US" w:eastAsia="en-US" w:bidi="en-US"/>
        </w:rPr>
        <w:t>Jaumara;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Haima-vyäkarana,@@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by the Jaina writer Hemachandra (1088-1172, according to Dr Bhão Dãjï) ; the </w:t>
      </w:r>
      <w:r>
        <w:rPr>
          <w:rFonts w:ascii="Times New Roman" w:eastAsia="Times New Roman" w:hAnsi="Times New Roman" w:cs="Times New Roman"/>
          <w:i/>
          <w:iCs/>
          <w:color w:val="000000"/>
          <w:spacing w:val="0"/>
          <w:w w:val="100"/>
          <w:position w:val="0"/>
          <w:shd w:val="clear" w:color="auto" w:fill="auto"/>
          <w:lang w:val="en-US" w:eastAsia="en-US" w:bidi="en-US"/>
        </w:rPr>
        <w:t>Mugdha-bodha@@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composed, in the latter part of the 13th century, by Vopadeva, the court pandit of King Mahãdeva (Rãmarãja) of Devagiri (or Deoghar); the </w:t>
      </w:r>
      <w:r>
        <w:rPr>
          <w:rFonts w:ascii="Times New Roman" w:eastAsia="Times New Roman" w:hAnsi="Times New Roman" w:cs="Times New Roman"/>
          <w:i/>
          <w:iCs/>
          <w:color w:val="000000"/>
          <w:spacing w:val="0"/>
          <w:w w:val="100"/>
          <w:position w:val="0"/>
          <w:shd w:val="clear" w:color="auto" w:fill="auto"/>
          <w:lang w:val="en-US" w:eastAsia="en-US" w:bidi="en-US"/>
        </w:rPr>
        <w:t>Siddhänta-kaumudî,</w:t>
      </w:r>
      <w:r>
        <w:rPr>
          <w:rFonts w:ascii="Times New Roman" w:eastAsia="Times New Roman" w:hAnsi="Times New Roman" w:cs="Times New Roman"/>
          <w:color w:val="000000"/>
          <w:spacing w:val="0"/>
          <w:w w:val="100"/>
          <w:position w:val="0"/>
          <w:shd w:val="clear" w:color="auto" w:fill="auto"/>
          <w:lang w:val="en-US" w:eastAsia="en-US" w:bidi="en-US"/>
        </w:rPr>
        <w:t xml:space="preserve"> the favourite text-book of Indian students, by Bhattoji Dîkshita (17th century); and a clever abridgment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the </w:t>
      </w:r>
      <w:r>
        <w:rPr>
          <w:rFonts w:ascii="Times New Roman" w:eastAsia="Times New Roman" w:hAnsi="Times New Roman" w:cs="Times New Roman"/>
          <w:i/>
          <w:iCs/>
          <w:color w:val="000000"/>
          <w:spacing w:val="0"/>
          <w:w w:val="100"/>
          <w:position w:val="0"/>
          <w:shd w:val="clear" w:color="auto" w:fill="auto"/>
          <w:lang w:val="en-US" w:eastAsia="en-US" w:bidi="en-US"/>
        </w:rPr>
        <w:t>Laghu- (Siddhänta-) kaumudi,@@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by Varadarãja.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subsidiary grammatical treatises remain to be noticed. The </w:t>
      </w:r>
      <w:r>
        <w:rPr>
          <w:rFonts w:ascii="Times New Roman" w:eastAsia="Times New Roman" w:hAnsi="Times New Roman" w:cs="Times New Roman"/>
          <w:i/>
          <w:iCs/>
          <w:color w:val="000000"/>
          <w:spacing w:val="0"/>
          <w:w w:val="100"/>
          <w:position w:val="0"/>
          <w:shd w:val="clear" w:color="auto" w:fill="auto"/>
          <w:lang w:val="en-US" w:eastAsia="en-US" w:bidi="en-US"/>
        </w:rPr>
        <w:t>Paribhäshäs</w:t>
      </w:r>
      <w:r>
        <w:rPr>
          <w:rFonts w:ascii="Times New Roman" w:eastAsia="Times New Roman" w:hAnsi="Times New Roman" w:cs="Times New Roman"/>
          <w:color w:val="000000"/>
          <w:spacing w:val="0"/>
          <w:w w:val="100"/>
          <w:position w:val="0"/>
          <w:shd w:val="clear" w:color="auto" w:fill="auto"/>
          <w:lang w:val="en-US" w:eastAsia="en-US" w:bidi="en-US"/>
        </w:rPr>
        <w:t xml:space="preserve"> are general maxims of interpretation presupposed by the Sutras. Those handed down as applicable to Panini’s system have been interpreted most ably by Nãgojïbhatta, in his </w:t>
      </w:r>
      <w:r>
        <w:rPr>
          <w:rFonts w:ascii="Times New Roman" w:eastAsia="Times New Roman" w:hAnsi="Times New Roman" w:cs="Times New Roman"/>
          <w:i/>
          <w:iCs/>
          <w:color w:val="000000"/>
          <w:spacing w:val="0"/>
          <w:w w:val="100"/>
          <w:position w:val="0"/>
          <w:shd w:val="clear" w:color="auto" w:fill="auto"/>
          <w:lang w:val="en-US" w:eastAsia="en-US" w:bidi="en-US"/>
        </w:rPr>
        <w:t>Paribäshenáuéekhara@@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case of rules applying to whole groups of words, the complete lists </w:t>
      </w:r>
      <w:r>
        <w:rPr>
          <w:rFonts w:ascii="Times New Roman" w:eastAsia="Times New Roman" w:hAnsi="Times New Roman" w:cs="Times New Roman"/>
          <w:i/>
          <w:iCs/>
          <w:color w:val="000000"/>
          <w:spacing w:val="0"/>
          <w:w w:val="100"/>
          <w:position w:val="0"/>
          <w:shd w:val="clear" w:color="auto" w:fill="auto"/>
          <w:lang w:val="en-US" w:eastAsia="en-US" w:bidi="en-US"/>
        </w:rPr>
        <w:t>(gana)</w:t>
      </w:r>
      <w:r>
        <w:rPr>
          <w:rFonts w:ascii="Times New Roman" w:eastAsia="Times New Roman" w:hAnsi="Times New Roman" w:cs="Times New Roman"/>
          <w:color w:val="000000"/>
          <w:spacing w:val="0"/>
          <w:w w:val="100"/>
          <w:position w:val="0"/>
          <w:shd w:val="clear" w:color="auto" w:fill="auto"/>
          <w:lang w:val="en-US" w:eastAsia="en-US" w:bidi="en-US"/>
        </w:rPr>
        <w:t xml:space="preserve"> of these words are given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Ganapätha, </w:t>
      </w:r>
      <w:r>
        <w:rPr>
          <w:rFonts w:ascii="Times New Roman" w:eastAsia="Times New Roman" w:hAnsi="Times New Roman" w:cs="Times New Roman"/>
          <w:color w:val="000000"/>
          <w:spacing w:val="0"/>
          <w:w w:val="100"/>
          <w:position w:val="0"/>
          <w:shd w:val="clear" w:color="auto" w:fill="auto"/>
          <w:lang w:val="en-US" w:eastAsia="en-US" w:bidi="en-US"/>
        </w:rPr>
        <w:t xml:space="preserve">and only referred to in the Sutras. Vardhamãna’s </w:t>
      </w:r>
      <w:r>
        <w:rPr>
          <w:rFonts w:ascii="Times New Roman" w:eastAsia="Times New Roman" w:hAnsi="Times New Roman" w:cs="Times New Roman"/>
          <w:i/>
          <w:iCs/>
          <w:color w:val="000000"/>
          <w:spacing w:val="0"/>
          <w:w w:val="100"/>
          <w:position w:val="0"/>
          <w:shd w:val="clear" w:color="auto" w:fill="auto"/>
          <w:lang w:val="en-US" w:eastAsia="en-US" w:bidi="en-US"/>
        </w:rPr>
        <w:t>Ganaratna- mahodadhi,@@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 comparatively modern recension of these lists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1140), is valuable as offering the only available commentary on the Ganas which contain many words of unknown meaning. The </w:t>
      </w:r>
      <w:r>
        <w:rPr>
          <w:rFonts w:ascii="Times New Roman" w:eastAsia="Times New Roman" w:hAnsi="Times New Roman" w:cs="Times New Roman"/>
          <w:i/>
          <w:iCs/>
          <w:color w:val="000000"/>
          <w:spacing w:val="0"/>
          <w:w w:val="100"/>
          <w:position w:val="0"/>
          <w:shd w:val="clear" w:color="auto" w:fill="auto"/>
          <w:lang w:val="en-US" w:eastAsia="en-US" w:bidi="en-US"/>
        </w:rPr>
        <w:t>Dhätupäthas</w:t>
      </w:r>
      <w:r>
        <w:rPr>
          <w:rFonts w:ascii="Times New Roman" w:eastAsia="Times New Roman" w:hAnsi="Times New Roman" w:cs="Times New Roman"/>
          <w:color w:val="000000"/>
          <w:spacing w:val="0"/>
          <w:w w:val="100"/>
          <w:position w:val="0"/>
          <w:shd w:val="clear" w:color="auto" w:fill="auto"/>
          <w:lang w:val="en-US" w:eastAsia="en-US" w:bidi="en-US"/>
        </w:rPr>
        <w:t xml:space="preserve"> are complete lists of the roots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(dhatu) </w:t>
      </w:r>
      <w:r>
        <w:rPr>
          <w:rFonts w:ascii="Times New Roman" w:eastAsia="Times New Roman" w:hAnsi="Times New Roman" w:cs="Times New Roman"/>
          <w:color w:val="000000"/>
          <w:spacing w:val="0"/>
          <w:w w:val="100"/>
          <w:position w:val="0"/>
          <w:shd w:val="clear" w:color="auto" w:fill="auto"/>
          <w:lang w:val="en-US" w:eastAsia="en-US" w:bidi="en-US"/>
        </w:rPr>
        <w:t>of the language, with their general meanings. The lists handed down under this title,@@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as apparently arranged by Panini himself, have been com</w:t>
        <w:softHyphen/>
        <w:t xml:space="preserve">mented upon, amongst others, by Mãdhava. The </w:t>
      </w:r>
      <w:r>
        <w:rPr>
          <w:rFonts w:ascii="Times New Roman" w:eastAsia="Times New Roman" w:hAnsi="Times New Roman" w:cs="Times New Roman"/>
          <w:i/>
          <w:iCs/>
          <w:color w:val="000000"/>
          <w:spacing w:val="0"/>
          <w:w w:val="100"/>
          <w:position w:val="0"/>
          <w:shd w:val="clear" w:color="auto" w:fill="auto"/>
          <w:lang w:val="en-US" w:eastAsia="en-US" w:bidi="en-US"/>
        </w:rPr>
        <w:t>Unädi-sütras</w:t>
      </w:r>
      <w:r>
        <w:rPr>
          <w:rFonts w:ascii="Times New Roman" w:eastAsia="Times New Roman" w:hAnsi="Times New Roman" w:cs="Times New Roman"/>
          <w:color w:val="000000"/>
          <w:spacing w:val="0"/>
          <w:w w:val="100"/>
          <w:position w:val="0"/>
          <w:shd w:val="clear" w:color="auto" w:fill="auto"/>
          <w:lang w:val="en-US" w:eastAsia="en-US" w:bidi="en-US"/>
        </w:rPr>
        <w:t xml:space="preserve"> are rules on the formation of irregular derivatives. The oldest work of this kind, commented upon by Ujjvaladatta,@@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is by some writers ascribed to Kätyäyana Vararuchi, by others even to Säkatãyana. The oldest known treatise on the philosophy of grammar and syntax is the </w:t>
      </w:r>
      <w:r>
        <w:rPr>
          <w:rFonts w:ascii="Times New Roman" w:eastAsia="Times New Roman" w:hAnsi="Times New Roman" w:cs="Times New Roman"/>
          <w:i/>
          <w:iCs/>
          <w:color w:val="000000"/>
          <w:spacing w:val="0"/>
          <w:w w:val="100"/>
          <w:position w:val="0"/>
          <w:shd w:val="clear" w:color="auto" w:fill="auto"/>
          <w:lang w:val="en-US" w:eastAsia="en-US" w:bidi="en-US"/>
        </w:rPr>
        <w:t>Väkya-padiya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composed in verse, by Bhartphari (? 7th century), whence it is also called </w:t>
      </w:r>
      <w:r>
        <w:rPr>
          <w:rFonts w:ascii="Times New Roman" w:eastAsia="Times New Roman" w:hAnsi="Times New Roman" w:cs="Times New Roman"/>
          <w:i/>
          <w:iCs/>
          <w:color w:val="000000"/>
          <w:spacing w:val="0"/>
          <w:w w:val="100"/>
          <w:position w:val="0"/>
          <w:shd w:val="clear" w:color="auto" w:fill="auto"/>
          <w:lang w:val="en-US" w:eastAsia="en-US" w:bidi="en-US"/>
        </w:rPr>
        <w:t>Harikarika.</w:t>
      </w:r>
      <w:r>
        <w:rPr>
          <w:rFonts w:ascii="Times New Roman" w:eastAsia="Times New Roman" w:hAnsi="Times New Roman" w:cs="Times New Roman"/>
          <w:color w:val="000000"/>
          <w:spacing w:val="0"/>
          <w:w w:val="100"/>
          <w:position w:val="0"/>
          <w:shd w:val="clear" w:color="auto" w:fill="auto"/>
          <w:lang w:val="en-US" w:eastAsia="en-US" w:bidi="en-US"/>
        </w:rPr>
        <w:t xml:space="preserve"> Of later works on this subject,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Vaiyäkarana-bhüshana, </w:t>
      </w:r>
      <w:r>
        <w:rPr>
          <w:rFonts w:ascii="Times New Roman" w:eastAsia="Times New Roman" w:hAnsi="Times New Roman" w:cs="Times New Roman"/>
          <w:color w:val="000000"/>
          <w:spacing w:val="0"/>
          <w:w w:val="100"/>
          <w:position w:val="0"/>
          <w:shd w:val="clear" w:color="auto" w:fill="auto"/>
          <w:lang w:val="en-US" w:eastAsia="en-US" w:bidi="en-US"/>
        </w:rPr>
        <w:t xml:space="preserve">by Kondabhatta, and the </w:t>
      </w:r>
      <w:r>
        <w:rPr>
          <w:rFonts w:ascii="Times New Roman" w:eastAsia="Times New Roman" w:hAnsi="Times New Roman" w:cs="Times New Roman"/>
          <w:i/>
          <w:iCs/>
          <w:color w:val="000000"/>
          <w:spacing w:val="0"/>
          <w:w w:val="100"/>
          <w:position w:val="0"/>
          <w:shd w:val="clear" w:color="auto" w:fill="auto"/>
          <w:lang w:val="en-US" w:eastAsia="en-US" w:bidi="en-US"/>
        </w:rPr>
        <w:t>Vaiyäkarana-sidAhanta-manjüshä,</w:t>
      </w:r>
      <w:r>
        <w:rPr>
          <w:rFonts w:ascii="Times New Roman" w:eastAsia="Times New Roman" w:hAnsi="Times New Roman" w:cs="Times New Roman"/>
          <w:color w:val="000000"/>
          <w:spacing w:val="0"/>
          <w:w w:val="100"/>
          <w:position w:val="0"/>
          <w:shd w:val="clear" w:color="auto" w:fill="auto"/>
          <w:lang w:val="en-US" w:eastAsia="en-US" w:bidi="en-US"/>
        </w:rPr>
        <w:t xml:space="preserve"> by Nagojibhatta, are the most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important.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hd w:val="clear" w:color="auto" w:fill="auto"/>
          <w:lang w:val="en-US" w:eastAsia="en-US" w:bidi="en-US"/>
        </w:rPr>
        <w:t>Lexicography.</w:t>
      </w:r>
      <w:r>
        <w:rPr>
          <w:rFonts w:ascii="Times New Roman" w:eastAsia="Times New Roman" w:hAnsi="Times New Roman" w:cs="Times New Roman"/>
          <w:color w:val="000000"/>
          <w:spacing w:val="0"/>
          <w:w w:val="100"/>
          <w:position w:val="0"/>
          <w:shd w:val="clear" w:color="auto" w:fill="auto"/>
          <w:lang w:val="en-US" w:eastAsia="en-US" w:bidi="en-US"/>
        </w:rPr>
        <w:t xml:space="preserve">—Sanskrit dictionaries </w:t>
      </w:r>
      <w:r>
        <w:rPr>
          <w:rFonts w:ascii="Times New Roman" w:eastAsia="Times New Roman" w:hAnsi="Times New Roman" w:cs="Times New Roman"/>
          <w:i/>
          <w:iCs/>
          <w:color w:val="000000"/>
          <w:spacing w:val="0"/>
          <w:w w:val="100"/>
          <w:position w:val="0"/>
          <w:shd w:val="clear" w:color="auto" w:fill="auto"/>
          <w:lang w:val="en-US" w:eastAsia="en-US" w:bidi="en-US"/>
        </w:rPr>
        <w:t>(kosha),</w:t>
      </w:r>
      <w:r>
        <w:rPr>
          <w:rFonts w:ascii="Times New Roman" w:eastAsia="Times New Roman" w:hAnsi="Times New Roman" w:cs="Times New Roman"/>
          <w:color w:val="000000"/>
          <w:spacing w:val="0"/>
          <w:w w:val="100"/>
          <w:position w:val="0"/>
          <w:shd w:val="clear" w:color="auto" w:fill="auto"/>
          <w:lang w:val="en-US" w:eastAsia="en-US" w:bidi="en-US"/>
        </w:rPr>
        <w:t xml:space="preserve"> invariably composed in verse, are either homonymous or synonymous; or partly the one and partly the other. Of those hitherto published, Sãsvata’s </w:t>
      </w:r>
      <w:r>
        <w:rPr>
          <w:rFonts w:ascii="Times New Roman" w:eastAsia="Times New Roman" w:hAnsi="Times New Roman" w:cs="Times New Roman"/>
          <w:i/>
          <w:iCs/>
          <w:color w:val="000000"/>
          <w:spacing w:val="0"/>
          <w:w w:val="100"/>
          <w:position w:val="0"/>
          <w:shd w:val="clear" w:color="auto" w:fill="auto"/>
          <w:lang w:val="en-US" w:eastAsia="en-US" w:bidi="en-US"/>
        </w:rPr>
        <w:t>Anekartha-samuchchaya@@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or “ collection of homonyms,” is probably the oldest. While in the later homonymic vocabularies the words are usually arranged according to the alphabetical order of the final (or sometimes the initial) letter, and then according to the number of syllables, Sãsvata’s principle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arrangement—viz. the number of meanings assignable to a word— seems to be the more primitive. The work probably next in time is the famous </w:t>
      </w:r>
      <w:r>
        <w:rPr>
          <w:rFonts w:ascii="Times New Roman" w:eastAsia="Times New Roman" w:hAnsi="Times New Roman" w:cs="Times New Roman"/>
          <w:i/>
          <w:iCs/>
          <w:color w:val="000000"/>
          <w:spacing w:val="0"/>
          <w:w w:val="100"/>
          <w:position w:val="0"/>
          <w:shd w:val="clear" w:color="auto" w:fill="auto"/>
          <w:lang w:val="en-US" w:eastAsia="en-US" w:bidi="en-US"/>
        </w:rPr>
        <w:t>Amara-kosha@@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(“immortal treasury”) by Amara- simha, one of “ the nine gems,” who probably lived early in the 6th century. This dictionary consists of a synonymous and a short homonymous part; whilst in the former the words are distributed in sections according to subjects, as heaven and the gods, time and seasons, &amp;c., in the latter they are arranged according to their final letter, without regard to the number of syllables. This Kosha has found many commentators, the oldest of those known being Kshìra- svãmin.@@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works quoted by commentators as Amara's sources are the </w:t>
      </w:r>
      <w:r>
        <w:rPr>
          <w:rFonts w:ascii="Times New Roman" w:eastAsia="Times New Roman" w:hAnsi="Times New Roman" w:cs="Times New Roman"/>
          <w:i/>
          <w:iCs/>
          <w:color w:val="000000"/>
          <w:spacing w:val="0"/>
          <w:w w:val="100"/>
          <w:position w:val="0"/>
          <w:shd w:val="clear" w:color="auto" w:fill="auto"/>
          <w:lang w:val="en-US" w:eastAsia="en-US" w:bidi="en-US"/>
        </w:rPr>
        <w:t>Trikända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Utpalinï-koshas,</w:t>
      </w:r>
      <w:r>
        <w:rPr>
          <w:rFonts w:ascii="Times New Roman" w:eastAsia="Times New Roman" w:hAnsi="Times New Roman" w:cs="Times New Roman"/>
          <w:color w:val="000000"/>
          <w:spacing w:val="0"/>
          <w:w w:val="100"/>
          <w:position w:val="0"/>
          <w:shd w:val="clear" w:color="auto" w:fill="auto"/>
          <w:lang w:val="en-US" w:eastAsia="en-US" w:bidi="en-US"/>
        </w:rPr>
        <w:t xml:space="preserve"> and the glossaries of Rabhasa, Vyãdî, Kãtyãyana, and Vararuchi. A Kosha ascribed to Vararuchi—whom tradition makes likewise one of the nine literary “ gems ”—consisting of ninety short sections, has been printed at Benares (1865) in a collection of twelve Koshas. The </w:t>
      </w:r>
      <w:r>
        <w:rPr>
          <w:rFonts w:ascii="Times New Roman" w:eastAsia="Times New Roman" w:hAnsi="Times New Roman" w:cs="Times New Roman"/>
          <w:i/>
          <w:iCs/>
          <w:color w:val="000000"/>
          <w:spacing w:val="0"/>
          <w:w w:val="100"/>
          <w:position w:val="0"/>
          <w:shd w:val="clear" w:color="auto" w:fill="auto"/>
          <w:lang w:val="en-US" w:eastAsia="en-US" w:bidi="en-US"/>
        </w:rPr>
        <w:t>Abhidhäna- ratnamälä,@@</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by Halayudha ; the </w:t>
      </w:r>
      <w:r>
        <w:rPr>
          <w:rFonts w:ascii="Times New Roman" w:eastAsia="Times New Roman" w:hAnsi="Times New Roman" w:cs="Times New Roman"/>
          <w:i/>
          <w:iCs/>
          <w:color w:val="000000"/>
          <w:spacing w:val="0"/>
          <w:w w:val="100"/>
          <w:position w:val="0"/>
          <w:shd w:val="clear" w:color="auto" w:fill="auto"/>
          <w:lang w:val="en-US" w:eastAsia="en-US" w:bidi="en-US"/>
        </w:rPr>
        <w:t>Visvaprakaéa,</w:t>
      </w:r>
      <w:r>
        <w:rPr>
          <w:rFonts w:ascii="Times New Roman" w:eastAsia="Times New Roman" w:hAnsi="Times New Roman" w:cs="Times New Roman"/>
          <w:color w:val="000000"/>
          <w:spacing w:val="0"/>
          <w:w w:val="100"/>
          <w:position w:val="0"/>
          <w:shd w:val="clear" w:color="auto" w:fill="auto"/>
          <w:lang w:val="en-US" w:eastAsia="en-US" w:bidi="en-US"/>
        </w:rPr>
        <w:t xml:space="preserve"> by Mahesvara (1111) ; and the </w:t>
      </w:r>
      <w:r>
        <w:rPr>
          <w:rFonts w:ascii="Times New Roman" w:eastAsia="Times New Roman" w:hAnsi="Times New Roman" w:cs="Times New Roman"/>
          <w:i/>
          <w:iCs/>
          <w:color w:val="000000"/>
          <w:spacing w:val="0"/>
          <w:w w:val="100"/>
          <w:position w:val="0"/>
          <w:shd w:val="clear" w:color="auto" w:fill="auto"/>
          <w:lang w:val="en-US" w:eastAsia="en-US" w:bidi="en-US"/>
        </w:rPr>
        <w:t>AbhMhana-chintärnam@@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Haima-kosha)</w:t>
      </w:r>
      <w:r>
        <w:rPr>
          <w:rFonts w:ascii="Times New Roman" w:eastAsia="Times New Roman" w:hAnsi="Times New Roman" w:cs="Times New Roman"/>
          <w:color w:val="000000"/>
          <w:spacing w:val="0"/>
          <w:w w:val="100"/>
          <w:position w:val="0"/>
          <w:shd w:val="clear" w:color="auto" w:fill="auto"/>
          <w:lang w:val="en-US" w:eastAsia="en-US" w:bidi="en-US"/>
        </w:rPr>
        <w:t xml:space="preserve">, by the Jaina Hemachandra, seem all three to belong to the 12th century. Some- what earlier than these probably is Ajaya Pãla, the author of the (homonymous) </w:t>
      </w:r>
      <w:r>
        <w:rPr>
          <w:rFonts w:ascii="Times New Roman" w:eastAsia="Times New Roman" w:hAnsi="Times New Roman" w:cs="Times New Roman"/>
          <w:i/>
          <w:iCs/>
          <w:color w:val="000000"/>
          <w:spacing w:val="0"/>
          <w:w w:val="100"/>
          <w:position w:val="0"/>
          <w:shd w:val="clear" w:color="auto" w:fill="auto"/>
          <w:lang w:val="en-US" w:eastAsia="en-US" w:bidi="en-US"/>
        </w:rPr>
        <w:t>Nänärtha-sangraha,</w:t>
      </w:r>
      <w:r>
        <w:rPr>
          <w:rFonts w:ascii="Times New Roman" w:eastAsia="Times New Roman" w:hAnsi="Times New Roman" w:cs="Times New Roman"/>
          <w:color w:val="000000"/>
          <w:spacing w:val="0"/>
          <w:w w:val="100"/>
          <w:position w:val="0"/>
          <w:shd w:val="clear" w:color="auto" w:fill="auto"/>
          <w:lang w:val="en-US" w:eastAsia="en-US" w:bidi="en-US"/>
        </w:rPr>
        <w:t xml:space="preserve"> being quoted by Vardhamãna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1140). Of more uncertain date is Purushottama Deva, who wrote the </w:t>
      </w:r>
      <w:r>
        <w:rPr>
          <w:rFonts w:ascii="Times New Roman" w:eastAsia="Times New Roman" w:hAnsi="Times New Roman" w:cs="Times New Roman"/>
          <w:i/>
          <w:iCs/>
          <w:color w:val="000000"/>
          <w:spacing w:val="0"/>
          <w:w w:val="100"/>
          <w:position w:val="0"/>
          <w:shd w:val="clear" w:color="auto" w:fill="auto"/>
          <w:lang w:val="en-US" w:eastAsia="en-US" w:bidi="en-US"/>
        </w:rPr>
        <w:t>Trikända-sesha,</w:t>
      </w:r>
      <w:r>
        <w:rPr>
          <w:rFonts w:ascii="Times New Roman" w:eastAsia="Times New Roman" w:hAnsi="Times New Roman" w:cs="Times New Roman"/>
          <w:color w:val="000000"/>
          <w:spacing w:val="0"/>
          <w:w w:val="100"/>
          <w:position w:val="0"/>
          <w:shd w:val="clear" w:color="auto" w:fill="auto"/>
          <w:lang w:val="en-US" w:eastAsia="en-US" w:bidi="en-US"/>
        </w:rPr>
        <w:t xml:space="preserve"> a supplement to the Amarkosha, besides the </w:t>
      </w:r>
      <w:r>
        <w:rPr>
          <w:rFonts w:ascii="Times New Roman" w:eastAsia="Times New Roman" w:hAnsi="Times New Roman" w:cs="Times New Roman"/>
          <w:i/>
          <w:iCs/>
          <w:color w:val="000000"/>
          <w:spacing w:val="0"/>
          <w:w w:val="100"/>
          <w:position w:val="0"/>
          <w:shd w:val="clear" w:color="auto" w:fill="auto"/>
          <w:lang w:val="en-US" w:eastAsia="en-US" w:bidi="en-US"/>
        </w:rPr>
        <w:t>Härävali,</w:t>
      </w:r>
      <w:r>
        <w:rPr>
          <w:rFonts w:ascii="Times New Roman" w:eastAsia="Times New Roman" w:hAnsi="Times New Roman" w:cs="Times New Roman"/>
          <w:color w:val="000000"/>
          <w:spacing w:val="0"/>
          <w:w w:val="100"/>
          <w:position w:val="0"/>
          <w:shd w:val="clear" w:color="auto" w:fill="auto"/>
          <w:lang w:val="en-US" w:eastAsia="en-US" w:bidi="en-US"/>
        </w:rPr>
        <w:t xml:space="preserve"> a collection of uncommon words, and two other short glossaries. Of numerous other works of this class the most important is the </w:t>
      </w:r>
      <w:r>
        <w:rPr>
          <w:rFonts w:ascii="Times New Roman" w:eastAsia="Times New Roman" w:hAnsi="Times New Roman" w:cs="Times New Roman"/>
          <w:i/>
          <w:iCs/>
          <w:color w:val="000000"/>
          <w:spacing w:val="0"/>
          <w:w w:val="100"/>
          <w:position w:val="0"/>
          <w:shd w:val="clear" w:color="auto" w:fill="auto"/>
          <w:lang w:val="en-US" w:eastAsia="en-US" w:bidi="en-US"/>
        </w:rPr>
        <w:t>Medini,</w:t>
      </w:r>
      <w:r>
        <w:rPr>
          <w:rFonts w:ascii="Times New Roman" w:eastAsia="Times New Roman" w:hAnsi="Times New Roman" w:cs="Times New Roman"/>
          <w:color w:val="000000"/>
          <w:spacing w:val="0"/>
          <w:w w:val="100"/>
          <w:position w:val="0"/>
          <w:shd w:val="clear" w:color="auto" w:fill="auto"/>
          <w:lang w:val="en-US" w:eastAsia="en-US" w:bidi="en-US"/>
        </w:rPr>
        <w:t xml:space="preserve"> a dictionary of homonyms, arranged in the first place according to the finals and the syllabic length, and then alphabetically. Two important dictionaries, compiled by native scholars of the last century, are the </w:t>
      </w:r>
      <w:r>
        <w:rPr>
          <w:rFonts w:ascii="Times New Roman" w:eastAsia="Times New Roman" w:hAnsi="Times New Roman" w:cs="Times New Roman"/>
          <w:i/>
          <w:iCs/>
          <w:color w:val="000000"/>
          <w:spacing w:val="0"/>
          <w:w w:val="100"/>
          <w:position w:val="0"/>
          <w:shd w:val="clear" w:color="auto" w:fill="auto"/>
          <w:lang w:val="en-US" w:eastAsia="en-US" w:bidi="en-US"/>
        </w:rPr>
        <w:t>Sabdakalpadruma</w:t>
      </w:r>
      <w:r>
        <w:rPr>
          <w:rFonts w:ascii="Times New Roman" w:eastAsia="Times New Roman" w:hAnsi="Times New Roman" w:cs="Times New Roman"/>
          <w:color w:val="000000"/>
          <w:spacing w:val="0"/>
          <w:w w:val="100"/>
          <w:position w:val="0"/>
          <w:shd w:val="clear" w:color="auto" w:fill="auto"/>
          <w:lang w:val="en-US" w:eastAsia="en-US" w:bidi="en-US"/>
        </w:rPr>
        <w:t xml:space="preserve"> by Rãdhãkãnta Deνa, and the </w:t>
      </w:r>
      <w:r>
        <w:rPr>
          <w:rFonts w:ascii="Times New Roman" w:eastAsia="Times New Roman" w:hAnsi="Times New Roman" w:cs="Times New Roman"/>
          <w:i/>
          <w:iCs/>
          <w:color w:val="000000"/>
          <w:spacing w:val="0"/>
          <w:w w:val="100"/>
          <w:position w:val="0"/>
          <w:shd w:val="clear" w:color="auto" w:fill="auto"/>
          <w:lang w:val="en-US" w:eastAsia="en-US" w:bidi="en-US"/>
        </w:rPr>
        <w:t>Vächaspatya,</w:t>
      </w:r>
      <w:r>
        <w:rPr>
          <w:rFonts w:ascii="Times New Roman" w:eastAsia="Times New Roman" w:hAnsi="Times New Roman" w:cs="Times New Roman"/>
          <w:color w:val="000000"/>
          <w:spacing w:val="0"/>
          <w:w w:val="100"/>
          <w:position w:val="0"/>
          <w:shd w:val="clear" w:color="auto" w:fill="auto"/>
          <w:lang w:val="en-US" w:eastAsia="en-US" w:bidi="en-US"/>
        </w:rPr>
        <w:t xml:space="preserve"> by Täranãtha Tarka-vãchaspati. A full account of Sanskrit dictionaries is contained in the preface to the first edition of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Wilson’s </w:t>
      </w:r>
      <w:r>
        <w:rPr>
          <w:rFonts w:ascii="Times New Roman" w:eastAsia="Times New Roman" w:hAnsi="Times New Roman" w:cs="Times New Roman"/>
          <w:i/>
          <w:iCs/>
          <w:color w:val="000000"/>
          <w:spacing w:val="0"/>
          <w:w w:val="100"/>
          <w:position w:val="0"/>
          <w:shd w:val="clear" w:color="auto" w:fill="auto"/>
          <w:lang w:val="en-US" w:eastAsia="en-US" w:bidi="en-US"/>
        </w:rPr>
        <w:t>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reprinted in his </w:t>
      </w:r>
      <w:r>
        <w:rPr>
          <w:rFonts w:ascii="Times New Roman" w:eastAsia="Times New Roman" w:hAnsi="Times New Roman" w:cs="Times New Roman"/>
          <w:i/>
          <w:iCs/>
          <w:color w:val="000000"/>
          <w:spacing w:val="0"/>
          <w:w w:val="100"/>
          <w:position w:val="0"/>
          <w:shd w:val="clear" w:color="auto" w:fill="auto"/>
          <w:lang w:val="en-US" w:eastAsia="en-US" w:bidi="en-US"/>
        </w:rPr>
        <w:t>Essays on Sanskrit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vol. iii.</w:t>
      </w:r>
    </w:p>
    <w:p>
      <w:pPr>
        <w:pStyle w:val="Style3"/>
        <w:keepNext w:val="0"/>
        <w:keepLines w:val="0"/>
        <w:widowControl w:val="0"/>
        <w:shd w:val="clear" w:color="auto" w:fill="auto"/>
        <w:tabs>
          <w:tab w:pos="46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r>
      <w:r>
        <w:rPr>
          <w:rFonts w:ascii="Times New Roman" w:eastAsia="Times New Roman" w:hAnsi="Times New Roman" w:cs="Times New Roman"/>
          <w:smallCaps/>
          <w:color w:val="000000"/>
          <w:spacing w:val="0"/>
          <w:w w:val="100"/>
          <w:position w:val="0"/>
          <w:shd w:val="clear" w:color="auto" w:fill="auto"/>
          <w:lang w:val="en-US" w:eastAsia="en-US" w:bidi="en-US"/>
        </w:rPr>
        <w:t xml:space="preserve">Prosody </w:t>
      </w:r>
      <w:r>
        <w:rPr>
          <w:rFonts w:ascii="Times New Roman" w:eastAsia="Times New Roman" w:hAnsi="Times New Roman" w:cs="Times New Roman"/>
          <w:i/>
          <w:iCs/>
          <w:color w:val="000000"/>
          <w:spacing w:val="0"/>
          <w:w w:val="100"/>
          <w:position w:val="0"/>
          <w:shd w:val="clear" w:color="auto" w:fill="auto"/>
          <w:lang w:val="en-US" w:eastAsia="en-US" w:bidi="en-US"/>
        </w:rPr>
        <w:t>(Chhandas).—</w:t>
      </w:r>
      <w:r>
        <w:rPr>
          <w:rFonts w:ascii="Times New Roman" w:eastAsia="Times New Roman" w:hAnsi="Times New Roman" w:cs="Times New Roman"/>
          <w:color w:val="000000"/>
          <w:spacing w:val="0"/>
          <w:w w:val="100"/>
          <w:position w:val="0"/>
          <w:shd w:val="clear" w:color="auto" w:fill="auto"/>
          <w:lang w:val="en-US" w:eastAsia="en-US" w:bidi="en-US"/>
        </w:rPr>
        <w:t xml:space="preserve">The oldest treatises on prosody have already been referred to in the account of the technical branches of the later Vedic literature. Among more modern treatises the most important are the </w:t>
      </w:r>
      <w:r>
        <w:rPr>
          <w:rFonts w:ascii="Times New Roman" w:eastAsia="Times New Roman" w:hAnsi="Times New Roman" w:cs="Times New Roman"/>
          <w:i/>
          <w:iCs/>
          <w:color w:val="000000"/>
          <w:spacing w:val="0"/>
          <w:w w:val="100"/>
          <w:position w:val="0"/>
          <w:shd w:val="clear" w:color="auto" w:fill="auto"/>
          <w:lang w:val="en-US" w:eastAsia="en-US" w:bidi="en-US"/>
        </w:rPr>
        <w:t>Mrita-sanjivani,</w:t>
      </w:r>
      <w:r>
        <w:rPr>
          <w:rFonts w:ascii="Times New Roman" w:eastAsia="Times New Roman" w:hAnsi="Times New Roman" w:cs="Times New Roman"/>
          <w:color w:val="000000"/>
          <w:spacing w:val="0"/>
          <w:w w:val="100"/>
          <w:position w:val="0"/>
          <w:shd w:val="clear" w:color="auto" w:fill="auto"/>
          <w:lang w:val="en-US" w:eastAsia="en-US" w:bidi="en-US"/>
        </w:rPr>
        <w:t xml:space="preserve"> a commentary on Pingala’s Sutra, by Halãyudha (perhaps identical with the author of the glossary above referred to); the </w:t>
      </w:r>
      <w:r>
        <w:rPr>
          <w:rFonts w:ascii="Times New Roman" w:eastAsia="Times New Roman" w:hAnsi="Times New Roman" w:cs="Times New Roman"/>
          <w:i/>
          <w:iCs/>
          <w:color w:val="000000"/>
          <w:spacing w:val="0"/>
          <w:w w:val="100"/>
          <w:position w:val="0"/>
          <w:shd w:val="clear" w:color="auto" w:fill="auto"/>
          <w:lang w:val="en-US" w:eastAsia="en-US" w:bidi="en-US"/>
        </w:rPr>
        <w:t>Vritta- ratnäkara,</w:t>
      </w:r>
      <w:r>
        <w:rPr>
          <w:rFonts w:ascii="Times New Roman" w:eastAsia="Times New Roman" w:hAnsi="Times New Roman" w:cs="Times New Roman"/>
          <w:color w:val="000000"/>
          <w:spacing w:val="0"/>
          <w:w w:val="100"/>
          <w:position w:val="0"/>
          <w:shd w:val="clear" w:color="auto" w:fill="auto"/>
          <w:lang w:val="en-US" w:eastAsia="en-US" w:bidi="en-US"/>
        </w:rPr>
        <w:t xml:space="preserve"> or “ jewel-mine of metres,” in six chapters, composed before the 13th century by Kedära Bhatta, with several commentaries; and the </w:t>
      </w:r>
      <w:r>
        <w:rPr>
          <w:rFonts w:ascii="Times New Roman" w:eastAsia="Times New Roman" w:hAnsi="Times New Roman" w:cs="Times New Roman"/>
          <w:i/>
          <w:iCs/>
          <w:color w:val="000000"/>
          <w:spacing w:val="0"/>
          <w:w w:val="100"/>
          <w:position w:val="0"/>
          <w:shd w:val="clear" w:color="auto" w:fill="auto"/>
          <w:lang w:val="en-US" w:eastAsia="en-US" w:bidi="en-US"/>
        </w:rPr>
        <w:t>Chhando-manjarï,</w:t>
      </w:r>
      <w:r>
        <w:rPr>
          <w:rFonts w:ascii="Times New Roman" w:eastAsia="Times New Roman" w:hAnsi="Times New Roman" w:cs="Times New Roman"/>
          <w:color w:val="000000"/>
          <w:spacing w:val="0"/>
          <w:w w:val="100"/>
          <w:position w:val="0"/>
          <w:shd w:val="clear" w:color="auto" w:fill="auto"/>
          <w:lang w:val="en-US" w:eastAsia="en-US" w:bidi="en-US"/>
        </w:rPr>
        <w:t xml:space="preserve"> likewise in six chapters, by Gangädäsa. The </w:t>
      </w:r>
      <w:r>
        <w:rPr>
          <w:rFonts w:ascii="Times New Roman" w:eastAsia="Times New Roman" w:hAnsi="Times New Roman" w:cs="Times New Roman"/>
          <w:i/>
          <w:iCs/>
          <w:color w:val="000000"/>
          <w:spacing w:val="0"/>
          <w:w w:val="100"/>
          <w:position w:val="0"/>
          <w:shd w:val="clear" w:color="auto" w:fill="auto"/>
          <w:lang w:val="en-US" w:eastAsia="en-US" w:bidi="en-US"/>
        </w:rPr>
        <w:t>Srutabodha,</w:t>
      </w:r>
      <w:r>
        <w:rPr>
          <w:rFonts w:ascii="Times New Roman" w:eastAsia="Times New Roman" w:hAnsi="Times New Roman" w:cs="Times New Roman"/>
          <w:color w:val="000000"/>
          <w:spacing w:val="0"/>
          <w:w w:val="100"/>
          <w:position w:val="0"/>
          <w:shd w:val="clear" w:color="auto" w:fill="auto"/>
          <w:lang w:val="en-US" w:eastAsia="en-US" w:bidi="en-US"/>
        </w:rPr>
        <w:t xml:space="preserve"> ascribed, probably wrongly, to the great Kãlidãsa, is a comparatively insignificant treatise which deals only with the more common metres, in such a way that each stanza forms a specimen of the metre it describes.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Vritta-darpαna </w:t>
      </w:r>
      <w:r>
        <w:rPr>
          <w:rFonts w:ascii="Times New Roman" w:eastAsia="Times New Roman" w:hAnsi="Times New Roman" w:cs="Times New Roman"/>
          <w:color w:val="000000"/>
          <w:spacing w:val="0"/>
          <w:w w:val="100"/>
          <w:position w:val="0"/>
          <w:shd w:val="clear" w:color="auto" w:fill="auto"/>
          <w:lang w:val="en-US" w:eastAsia="en-US" w:bidi="en-US"/>
        </w:rPr>
        <w:t xml:space="preserve">treats chiefly of Prãkrit metres. Sanskrit prosody, which is probably not surpassed by any other either in variety of metre or in har- moniousness of rhythm, recognizes two classes of metres, viz. such as consist of a certain number of syllables of fixed quantity, and such as are regulated by groups of breves or metrical instants, this latter class being again of two kinds, according as it is or is not bound by a fixed order of feet. A pleasant account of Sanskrit poetics is given in Colebrooke’s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vol. ii. ; a more complete and systematic one by Professor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vol. viii.</w:t>
      </w:r>
    </w:p>
    <w:p>
      <w:pPr>
        <w:pStyle w:val="Style3"/>
        <w:keepNext w:val="0"/>
        <w:keepLines w:val="0"/>
        <w:widowControl w:val="0"/>
        <w:shd w:val="clear" w:color="auto" w:fill="auto"/>
        <w:tabs>
          <w:tab w:pos="53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w:t>
        <w:tab/>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Music (Sαngi∕α).—</w:t>
      </w:r>
      <w:r>
        <w:rPr>
          <w:rFonts w:ascii="Times New Roman" w:eastAsia="Times New Roman" w:hAnsi="Times New Roman" w:cs="Times New Roman"/>
          <w:color w:val="000000"/>
          <w:spacing w:val="0"/>
          <w:w w:val="100"/>
          <w:position w:val="0"/>
          <w:shd w:val="clear" w:color="auto" w:fill="auto"/>
          <w:lang w:val="en-US" w:eastAsia="en-US" w:bidi="en-US"/>
        </w:rPr>
        <w:t>The musical art has been practised in India from early times. The theoretic treatises on profane music now extant are, however, quite modern productions.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most highly esteemed works are the </w:t>
      </w:r>
      <w:r>
        <w:rPr>
          <w:rFonts w:ascii="Times New Roman" w:eastAsia="Times New Roman" w:hAnsi="Times New Roman" w:cs="Times New Roman"/>
          <w:i/>
          <w:iCs/>
          <w:color w:val="000000"/>
          <w:spacing w:val="0"/>
          <w:w w:val="100"/>
          <w:position w:val="0"/>
          <w:shd w:val="clear" w:color="auto" w:fill="auto"/>
          <w:lang w:val="en-US" w:eastAsia="en-US" w:bidi="en-US"/>
        </w:rPr>
        <w:t>Sangïta- ratnäkara ("</w:t>
      </w:r>
      <w:r>
        <w:rPr>
          <w:rFonts w:ascii="Times New Roman" w:eastAsia="Times New Roman" w:hAnsi="Times New Roman" w:cs="Times New Roman"/>
          <w:color w:val="000000"/>
          <w:spacing w:val="0"/>
          <w:w w:val="100"/>
          <w:position w:val="0"/>
          <w:shd w:val="clear" w:color="auto" w:fill="auto"/>
          <w:lang w:val="en-US" w:eastAsia="en-US" w:bidi="en-US"/>
        </w:rPr>
        <w:t xml:space="preserve">jewel-mine of music ”), by Sãrngadeva, and the </w:t>
      </w:r>
      <w:r>
        <w:rPr>
          <w:rFonts w:ascii="Times New Roman" w:eastAsia="Times New Roman" w:hAnsi="Times New Roman" w:cs="Times New Roman"/>
          <w:i/>
          <w:iCs/>
          <w:color w:val="000000"/>
          <w:spacing w:val="0"/>
          <w:w w:val="100"/>
          <w:position w:val="0"/>
          <w:shd w:val="clear" w:color="auto" w:fill="auto"/>
          <w:lang w:val="en-US" w:eastAsia="en-US" w:bidi="en-US"/>
        </w:rPr>
        <w:t>Sangιta- darpana</w:t>
      </w:r>
      <w:r>
        <w:rPr>
          <w:rFonts w:ascii="Times New Roman" w:eastAsia="Times New Roman" w:hAnsi="Times New Roman" w:cs="Times New Roman"/>
          <w:color w:val="000000"/>
          <w:spacing w:val="0"/>
          <w:w w:val="100"/>
          <w:position w:val="0"/>
          <w:shd w:val="clear" w:color="auto" w:fill="auto"/>
          <w:lang w:val="en-US" w:eastAsia="en-US" w:bidi="en-US"/>
        </w:rPr>
        <w:t xml:space="preserve"> (“ mirror of music ”), by Dãmodara. Each of these works consists of seven chapters, treating respectively of—</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sound and musical notes (svara); (2) melodies </w:t>
      </w:r>
      <w:r>
        <w:rPr>
          <w:rFonts w:ascii="Times New Roman" w:eastAsia="Times New Roman" w:hAnsi="Times New Roman" w:cs="Times New Roman"/>
          <w:i/>
          <w:iCs/>
          <w:color w:val="000000"/>
          <w:spacing w:val="0"/>
          <w:w w:val="100"/>
          <w:position w:val="0"/>
          <w:shd w:val="clear" w:color="auto" w:fill="auto"/>
          <w:lang w:val="en-US" w:eastAsia="en-US" w:bidi="en-US"/>
        </w:rPr>
        <w:t>(raga);</w:t>
      </w:r>
      <w:r>
        <w:rPr>
          <w:rFonts w:ascii="Times New Roman" w:eastAsia="Times New Roman" w:hAnsi="Times New Roman" w:cs="Times New Roman"/>
          <w:color w:val="000000"/>
          <w:spacing w:val="0"/>
          <w:w w:val="100"/>
          <w:position w:val="0"/>
          <w:shd w:val="clear" w:color="auto" w:fill="auto"/>
          <w:lang w:val="en-US" w:eastAsia="en-US" w:bidi="en-US"/>
        </w:rPr>
        <w:t xml:space="preserve"> (3) music in connexion with the human voice (</w:t>
      </w:r>
      <w:r>
        <w:rPr>
          <w:rFonts w:ascii="Times New Roman" w:eastAsia="Times New Roman" w:hAnsi="Times New Roman" w:cs="Times New Roman"/>
          <w:i/>
          <w:iCs/>
          <w:color w:val="000000"/>
          <w:spacing w:val="0"/>
          <w:w w:val="100"/>
          <w:position w:val="0"/>
          <w:shd w:val="clear" w:color="auto" w:fill="auto"/>
          <w:lang w:val="en-US" w:eastAsia="en-US" w:bidi="en-US"/>
        </w:rPr>
        <w:t>prakirnaka)</w:t>
      </w:r>
      <w:r>
        <w:rPr>
          <w:rFonts w:ascii="Times New Roman" w:eastAsia="Times New Roman" w:hAnsi="Times New Roman" w:cs="Times New Roman"/>
          <w:color w:val="000000"/>
          <w:spacing w:val="0"/>
          <w:w w:val="100"/>
          <w:position w:val="0"/>
          <w:shd w:val="clear" w:color="auto" w:fill="auto"/>
          <w:lang w:val="en-US" w:eastAsia="en-US" w:bidi="en-US"/>
        </w:rPr>
        <w:t xml:space="preserve"> ; (4) musical compositions </w:t>
      </w:r>
      <w:r>
        <w:rPr>
          <w:rFonts w:ascii="Times New Roman" w:eastAsia="Times New Roman" w:hAnsi="Times New Roman" w:cs="Times New Roman"/>
          <w:i/>
          <w:iCs/>
          <w:color w:val="000000"/>
          <w:spacing w:val="0"/>
          <w:w w:val="100"/>
          <w:position w:val="0"/>
          <w:shd w:val="clear" w:color="auto" w:fill="auto"/>
          <w:lang w:val="en-US" w:eastAsia="en-US" w:bidi="en-US"/>
        </w:rPr>
        <w:t>(prabandha)</w:t>
      </w:r>
      <w:r>
        <w:rPr>
          <w:rFonts w:ascii="Times New Roman" w:eastAsia="Times New Roman" w:hAnsi="Times New Roman" w:cs="Times New Roman"/>
          <w:color w:val="000000"/>
          <w:spacing w:val="0"/>
          <w:w w:val="100"/>
          <w:position w:val="0"/>
          <w:shd w:val="clear" w:color="auto" w:fill="auto"/>
          <w:lang w:val="en-US" w:eastAsia="en-US" w:bidi="en-US"/>
        </w:rPr>
        <w:t xml:space="preserve"> ; (5) time and measure (tala); (6) musical instruments and instrumental music </w:t>
      </w:r>
      <w:r>
        <w:rPr>
          <w:rFonts w:ascii="Times New Roman" w:eastAsia="Times New Roman" w:hAnsi="Times New Roman" w:cs="Times New Roman"/>
          <w:i/>
          <w:iCs/>
          <w:color w:val="000000"/>
          <w:spacing w:val="0"/>
          <w:w w:val="100"/>
          <w:position w:val="0"/>
          <w:shd w:val="clear" w:color="auto" w:fill="auto"/>
          <w:lang w:val="en-US" w:eastAsia="en-US" w:bidi="en-US"/>
        </w:rPr>
        <w:t>(υadya);</w:t>
      </w:r>
      <w:r>
        <w:rPr>
          <w:rFonts w:ascii="Times New Roman" w:eastAsia="Times New Roman" w:hAnsi="Times New Roman" w:cs="Times New Roman"/>
          <w:color w:val="000000"/>
          <w:spacing w:val="0"/>
          <w:w w:val="100"/>
          <w:position w:val="0"/>
          <w:shd w:val="clear" w:color="auto" w:fill="auto"/>
          <w:lang w:val="en-US" w:eastAsia="en-US" w:bidi="en-US"/>
        </w:rPr>
        <w:t xml:space="preserve"> (7) dancing and acting (nritta or </w:t>
      </w:r>
      <w:r>
        <w:rPr>
          <w:rFonts w:ascii="Times New Roman" w:eastAsia="Times New Roman" w:hAnsi="Times New Roman" w:cs="Times New Roman"/>
          <w:i/>
          <w:iCs/>
          <w:color w:val="000000"/>
          <w:spacing w:val="0"/>
          <w:w w:val="100"/>
          <w:position w:val="0"/>
          <w:shd w:val="clear" w:color="auto" w:fill="auto"/>
          <w:lang w:val="en-US" w:eastAsia="en-US" w:bidi="en-US"/>
        </w:rPr>
        <w:t>nritya).</w:t>
      </w:r>
      <w:r>
        <w:rPr>
          <w:rFonts w:ascii="Times New Roman" w:eastAsia="Times New Roman" w:hAnsi="Times New Roman" w:cs="Times New Roman"/>
          <w:color w:val="000000"/>
          <w:spacing w:val="0"/>
          <w:w w:val="100"/>
          <w:position w:val="0"/>
          <w:shd w:val="clear" w:color="auto" w:fill="auto"/>
          <w:lang w:val="en-US" w:eastAsia="en-US" w:bidi="en-US"/>
        </w:rPr>
        <w:t xml:space="preserve"> The Indian octave consists like our own of seven chief notes (</w:t>
      </w:r>
      <w:r>
        <w:rPr>
          <w:rFonts w:ascii="Times New Roman" w:eastAsia="Times New Roman" w:hAnsi="Times New Roman" w:cs="Times New Roman"/>
          <w:i/>
          <w:iCs/>
          <w:color w:val="000000"/>
          <w:spacing w:val="0"/>
          <w:w w:val="100"/>
          <w:position w:val="0"/>
          <w:shd w:val="clear" w:color="auto" w:fill="auto"/>
          <w:lang w:val="en-US" w:eastAsia="en-US" w:bidi="en-US"/>
        </w:rPr>
        <w:t>sυara);</w:t>
      </w:r>
      <w:r>
        <w:rPr>
          <w:rFonts w:ascii="Times New Roman" w:eastAsia="Times New Roman" w:hAnsi="Times New Roman" w:cs="Times New Roman"/>
          <w:color w:val="000000"/>
          <w:spacing w:val="0"/>
          <w:w w:val="100"/>
          <w:position w:val="0"/>
          <w:shd w:val="clear" w:color="auto" w:fill="auto"/>
          <w:lang w:val="en-US" w:eastAsia="en-US" w:bidi="en-US"/>
        </w:rPr>
        <w:t xml:space="preserve"> but, while with us it is subdivided into twelve semi-tones, the Hindu theory distinguishes twenty-two intervals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sruti, </w:t>
      </w:r>
      <w:r>
        <w:rPr>
          <w:rFonts w:ascii="Times New Roman" w:eastAsia="Times New Roman" w:hAnsi="Times New Roman" w:cs="Times New Roman"/>
          <w:color w:val="000000"/>
          <w:spacing w:val="0"/>
          <w:w w:val="100"/>
          <w:position w:val="0"/>
          <w:shd w:val="clear" w:color="auto" w:fill="auto"/>
          <w:lang w:val="en-US" w:eastAsia="en-US" w:bidi="en-US"/>
        </w:rPr>
        <w:t xml:space="preserve">audible sound). There is, however, some doubt as to whether these </w:t>
      </w:r>
      <w:r>
        <w:rPr>
          <w:rFonts w:ascii="Times New Roman" w:eastAsia="Times New Roman" w:hAnsi="Times New Roman" w:cs="Times New Roman"/>
          <w:i/>
          <w:iCs/>
          <w:color w:val="000000"/>
          <w:spacing w:val="0"/>
          <w:w w:val="100"/>
          <w:position w:val="0"/>
          <w:shd w:val="clear" w:color="auto" w:fill="auto"/>
          <w:lang w:val="en-US" w:eastAsia="en-US" w:bidi="en-US"/>
        </w:rPr>
        <w:t>srutis</w:t>
      </w:r>
      <w:r>
        <w:rPr>
          <w:rFonts w:ascii="Times New Roman" w:eastAsia="Times New Roman" w:hAnsi="Times New Roman" w:cs="Times New Roman"/>
          <w:color w:val="000000"/>
          <w:spacing w:val="0"/>
          <w:w w:val="100"/>
          <w:position w:val="0"/>
          <w:shd w:val="clear" w:color="auto" w:fill="auto"/>
          <w:lang w:val="en-US" w:eastAsia="en-US" w:bidi="en-US"/>
        </w:rPr>
        <w:t xml:space="preserve"> are quite equal to one another—in which case the intervals between the chief notes would be unequal, since they consist of either two or three or four </w:t>
      </w:r>
      <w:r>
        <w:rPr>
          <w:rFonts w:ascii="Times New Roman" w:eastAsia="Times New Roman" w:hAnsi="Times New Roman" w:cs="Times New Roman"/>
          <w:i/>
          <w:iCs/>
          <w:color w:val="000000"/>
          <w:spacing w:val="0"/>
          <w:w w:val="100"/>
          <w:position w:val="0"/>
          <w:shd w:val="clear" w:color="auto" w:fill="auto"/>
          <w:lang w:val="en-US" w:eastAsia="en-US" w:bidi="en-US"/>
        </w:rPr>
        <w:t>srutis,</w:t>
      </w:r>
      <w:r>
        <w:rPr>
          <w:rFonts w:ascii="Times New Roman" w:eastAsia="Times New Roman" w:hAnsi="Times New Roman" w:cs="Times New Roman"/>
          <w:color w:val="000000"/>
          <w:spacing w:val="0"/>
          <w:w w:val="100"/>
          <w:position w:val="0"/>
          <w:shd w:val="clear" w:color="auto" w:fill="auto"/>
          <w:lang w:val="en-US" w:eastAsia="en-US" w:bidi="en-US"/>
        </w:rPr>
        <w:t xml:space="preserve">—or whether, if the intervals between the chief notes be equal, the </w:t>
      </w:r>
      <w:r>
        <w:rPr>
          <w:rFonts w:ascii="Times New Roman" w:eastAsia="Times New Roman" w:hAnsi="Times New Roman" w:cs="Times New Roman"/>
          <w:i/>
          <w:iCs/>
          <w:color w:val="000000"/>
          <w:spacing w:val="0"/>
          <w:w w:val="100"/>
          <w:position w:val="0"/>
          <w:shd w:val="clear" w:color="auto" w:fill="auto"/>
          <w:lang w:val="en-US" w:eastAsia="en-US" w:bidi="en-US"/>
        </w:rPr>
        <w:t>srutis</w:t>
      </w:r>
      <w:r>
        <w:rPr>
          <w:rFonts w:ascii="Times New Roman" w:eastAsia="Times New Roman" w:hAnsi="Times New Roman" w:cs="Times New Roman"/>
          <w:color w:val="000000"/>
          <w:spacing w:val="0"/>
          <w:w w:val="100"/>
          <w:position w:val="0"/>
          <w:shd w:val="clear" w:color="auto" w:fill="auto"/>
          <w:lang w:val="en-US" w:eastAsia="en-US" w:bidi="en-US"/>
        </w:rPr>
        <w:t xml:space="preserve"> themselves vary in duration between quarter-, third-, and semi-tones. There are three scales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(grama), </w:t>
      </w:r>
      <w:r>
        <w:rPr>
          <w:rFonts w:ascii="Times New Roman" w:eastAsia="Times New Roman" w:hAnsi="Times New Roman" w:cs="Times New Roman"/>
          <w:color w:val="000000"/>
          <w:spacing w:val="0"/>
          <w:w w:val="100"/>
          <w:position w:val="0"/>
          <w:shd w:val="clear" w:color="auto" w:fill="auto"/>
          <w:lang w:val="en-US" w:eastAsia="en-US" w:bidi="en-US"/>
        </w:rPr>
        <w:t>differing from each other in the nature of the chief intervals (either as regards actual duration, or the number of srutis or sub-tones). Indian music consists almost entirely in melody, instrumental accompaniment being performed in unison, and any attempt at harmony being confined to the continuation of the key-note. 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Dr Burnell, in his </w:t>
      </w:r>
      <w:r>
        <w:rPr>
          <w:rFonts w:ascii="Times New Roman" w:eastAsia="Times New Roman" w:hAnsi="Times New Roman" w:cs="Times New Roman"/>
          <w:i/>
          <w:iCs/>
          <w:color w:val="000000"/>
          <w:spacing w:val="0"/>
          <w:w w:val="100"/>
          <w:position w:val="0"/>
          <w:shd w:val="clear" w:color="auto" w:fill="auto"/>
          <w:lang w:val="en-US" w:eastAsia="en-US" w:bidi="en-US"/>
        </w:rPr>
        <w:t>Aindra School,</w:t>
      </w:r>
      <w:r>
        <w:rPr>
          <w:rFonts w:ascii="Times New Roman" w:eastAsia="Times New Roman" w:hAnsi="Times New Roman" w:cs="Times New Roman"/>
          <w:color w:val="000000"/>
          <w:spacing w:val="0"/>
          <w:w w:val="100"/>
          <w:position w:val="0"/>
          <w:shd w:val="clear" w:color="auto" w:fill="auto"/>
          <w:lang w:val="en-US" w:eastAsia="en-US" w:bidi="en-US"/>
        </w:rPr>
        <w:t xml:space="preserve"> proposes to apply this term to all grammars arranged on this plan.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Bhandarkar, </w:t>
      </w:r>
      <w:r>
        <w:rPr>
          <w:rFonts w:ascii="Times New Roman" w:eastAsia="Times New Roman" w:hAnsi="Times New Roman" w:cs="Times New Roman"/>
          <w:i/>
          <w:iCs/>
          <w:color w:val="000000"/>
          <w:spacing w:val="0"/>
          <w:w w:val="100"/>
          <w:position w:val="0"/>
          <w:shd w:val="clear" w:color="auto" w:fill="auto"/>
          <w:lang w:val="en-US" w:eastAsia="en-US" w:bidi="en-US"/>
        </w:rPr>
        <w:t>Early History of the Dekhan,</w:t>
      </w:r>
      <w:r>
        <w:rPr>
          <w:rFonts w:ascii="Times New Roman" w:eastAsia="Times New Roman" w:hAnsi="Times New Roman" w:cs="Times New Roman"/>
          <w:color w:val="000000"/>
          <w:spacing w:val="0"/>
          <w:w w:val="100"/>
          <w:position w:val="0"/>
          <w:shd w:val="clear" w:color="auto" w:fill="auto"/>
          <w:lang w:val="en-US" w:eastAsia="en-US" w:bidi="en-US"/>
        </w:rPr>
        <w:t xml:space="preserve"> p. 20, proposes to fix him about the end of the 3rd century.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commentary, by J. Eggeling.</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Prakrit part edited and translated by R. Pischel.</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O. Böhtlingk (1847).</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 J. R. Ballantyne. For other modern grammars see Colebrooke,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ii. p. 44; Rãjendralãla </w:t>
      </w:r>
      <w:r>
        <w:rPr>
          <w:rFonts w:ascii="Times New Roman" w:eastAsia="Times New Roman" w:hAnsi="Times New Roman" w:cs="Times New Roman"/>
          <w:color w:val="000000"/>
          <w:spacing w:val="0"/>
          <w:w w:val="100"/>
          <w:position w:val="0"/>
          <w:shd w:val="clear" w:color="auto" w:fill="auto"/>
          <w:lang w:val="fr-FR" w:eastAsia="fr-FR" w:bidi="fr-FR"/>
        </w:rPr>
        <w:t xml:space="preserve">Mitra, </w:t>
      </w:r>
      <w:r>
        <w:rPr>
          <w:rFonts w:ascii="Times New Roman" w:eastAsia="Times New Roman" w:hAnsi="Times New Roman" w:cs="Times New Roman"/>
          <w:i/>
          <w:iCs/>
          <w:color w:val="000000"/>
          <w:spacing w:val="0"/>
          <w:w w:val="100"/>
          <w:position w:val="0"/>
          <w:shd w:val="clear" w:color="auto" w:fill="auto"/>
          <w:lang w:val="en-US" w:eastAsia="en-US" w:bidi="en-US"/>
        </w:rPr>
        <w:t>Descriptive Catalogue,</w:t>
      </w:r>
      <w:r>
        <w:rPr>
          <w:rFonts w:ascii="Times New Roman" w:eastAsia="Times New Roman" w:hAnsi="Times New Roman" w:cs="Times New Roman"/>
          <w:color w:val="000000"/>
          <w:spacing w:val="0"/>
          <w:w w:val="100"/>
          <w:position w:val="0"/>
          <w:shd w:val="clear" w:color="auto" w:fill="auto"/>
          <w:lang w:val="en-US" w:eastAsia="en-US" w:bidi="en-US"/>
        </w:rPr>
        <w:t xml:space="preserve"> i., Grammar.</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 F. Kielhorn.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 Eggeling.</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N. L. Westergaard; also given in Böhtlingk’s edition of Pãnini.</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Text and commentary, edited by </w:t>
      </w:r>
      <w:r>
        <w:rPr>
          <w:rFonts w:ascii="Times New Roman" w:eastAsia="Times New Roman" w:hAnsi="Times New Roman" w:cs="Times New Roman"/>
          <w:color w:val="000000"/>
          <w:spacing w:val="0"/>
          <w:w w:val="100"/>
          <w:position w:val="0"/>
          <w:shd w:val="clear" w:color="auto" w:fill="auto"/>
          <w:lang w:val="de-DE" w:eastAsia="de-DE" w:bidi="de-DE"/>
        </w:rPr>
        <w:t>Th. Aufrecht.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Edited, with commentaries, at Benares.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Th. Zachariae.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T. Colebrooke (1808), and by L. Deslongchamps (1839-1845).</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 grammarian of this name is mentioned as the tutor of King Jayãpida of Kashmir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755-786); but Kshïra, the commentator on Amara, is placed by </w:t>
      </w:r>
      <w:r>
        <w:rPr>
          <w:rFonts w:ascii="Times New Roman" w:eastAsia="Times New Roman" w:hAnsi="Times New Roman" w:cs="Times New Roman"/>
          <w:color w:val="000000"/>
          <w:spacing w:val="0"/>
          <w:w w:val="100"/>
          <w:position w:val="0"/>
          <w:shd w:val="clear" w:color="auto" w:fill="auto"/>
          <w:lang w:val="de-DE" w:eastAsia="de-DE" w:bidi="de-DE"/>
        </w:rPr>
        <w:t xml:space="preserve">Professor Aufrecht </w:t>
      </w:r>
      <w:r>
        <w:rPr>
          <w:rFonts w:ascii="Times New Roman" w:eastAsia="Times New Roman" w:hAnsi="Times New Roman" w:cs="Times New Roman"/>
          <w:color w:val="000000"/>
          <w:spacing w:val="0"/>
          <w:w w:val="100"/>
          <w:position w:val="0"/>
          <w:shd w:val="clear" w:color="auto" w:fill="auto"/>
          <w:lang w:val="en-US" w:eastAsia="en-US" w:bidi="en-US"/>
        </w:rPr>
        <w:t>between the 11th and 12th centuries, because he quotes the Sabdãnuéãsana ascribed to Bhojarãja.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Th. Aufrecht </w:t>
      </w:r>
      <w:r>
        <w:rPr>
          <w:rFonts w:ascii="Times New Roman" w:eastAsia="Times New Roman" w:hAnsi="Times New Roman" w:cs="Times New Roman"/>
          <w:color w:val="000000"/>
          <w:spacing w:val="0"/>
          <w:w w:val="100"/>
          <w:position w:val="0"/>
          <w:shd w:val="clear" w:color="auto" w:fill="auto"/>
          <w:lang w:val="en-US" w:eastAsia="en-US" w:bidi="en-US"/>
        </w:rPr>
        <w:t>(1861).</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O. Böhtlingk and C. Rieu (1847).</w:t>
      </w:r>
    </w:p>
    <w:p>
      <w:pPr>
        <w:widowControl w:val="0"/>
        <w:spacing w:line="1" w:lineRule="exact"/>
      </w:pPr>
    </w:p>
    <w:sectPr>
      <w:footnotePr>
        <w:pos w:val="pageBottom"/>
        <w:numFmt w:val="decimal"/>
        <w:numRestart w:val="continuous"/>
      </w:footnotePr>
      <w:type w:val="continuous"/>
      <w:pgSz w:w="12240" w:h="15840"/>
      <w:pgMar w:top="849" w:left="872" w:right="987" w:bottom="7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