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Retz and Madame de Longueville,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entered the household of Armand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Bourbon, prince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Conti, whose marriage with Mazarin’s niece he helped to negotiate. He died of fever at Pézénas, in Languedoc on the 5th of December 1654. His biographers have variously stated on inadequate evidence that his death was caused by the prince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Conti in a moment of passion, or that he was poisoned by a jealous husband. The most considerable of his poems were the epic fragments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Rollon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conquérant, la guerre espagnole,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with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Dulot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vaincu</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Pompe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funèbre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honour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Voiture.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As a poet he was overrated, but he was the author of two excellent pieces of prose narration,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Histoire du siège de Dunkerque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(1649) and the unfinished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Conspiration de Walstein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(1651).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Walstein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has been compared for elegance and simplicity of style to Voltaire’s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Charles XII.</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b/>
          <w:bCs/>
          <w:i/>
          <w:iCs/>
          <w:color w:val="000000"/>
          <w:spacing w:val="0"/>
          <w:w w:val="80"/>
          <w:position w:val="0"/>
          <w:sz w:val="18"/>
          <w:szCs w:val="18"/>
          <w:shd w:val="clear" w:color="auto" w:fill="auto"/>
          <w:lang w:val="fr-FR" w:eastAsia="fr-FR" w:bidi="fr-FR"/>
        </w:rPr>
        <w:t>Œuvres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appeared in 1656, </w:t>
      </w:r>
      <w:r>
        <w:rPr>
          <w:rFonts w:ascii="Times New Roman" w:eastAsia="Times New Roman" w:hAnsi="Times New Roman" w:cs="Times New Roman"/>
          <w:b/>
          <w:bCs/>
          <w:i/>
          <w:iCs/>
          <w:color w:val="000000"/>
          <w:spacing w:val="0"/>
          <w:w w:val="80"/>
          <w:position w:val="0"/>
          <w:sz w:val="18"/>
          <w:szCs w:val="18"/>
          <w:shd w:val="clear" w:color="auto" w:fill="auto"/>
          <w:lang w:val="fr-FR" w:eastAsia="fr-FR" w:bidi="fr-FR"/>
        </w:rPr>
        <w:t>Nouvelles Œuvres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in 1674. His </w:t>
      </w:r>
      <w:r>
        <w:rPr>
          <w:rFonts w:ascii="Times New Roman" w:eastAsia="Times New Roman" w:hAnsi="Times New Roman" w:cs="Times New Roman"/>
          <w:b/>
          <w:bCs/>
          <w:i/>
          <w:iCs/>
          <w:color w:val="000000"/>
          <w:spacing w:val="0"/>
          <w:w w:val="80"/>
          <w:position w:val="0"/>
          <w:sz w:val="18"/>
          <w:szCs w:val="18"/>
          <w:shd w:val="clear" w:color="auto" w:fill="auto"/>
          <w:lang w:val="fr-FR" w:eastAsia="fr-FR" w:bidi="fr-FR"/>
        </w:rPr>
        <w:t>Poésies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were edited in 1877 by Octave Uzanne with an introductory note. Much of his correspondence is preserved in the library of the Arsenal, Paris. See Albert Mennung’s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 xml:space="preserve">Jean François Sαrαsιns </w:t>
      </w:r>
      <w:r>
        <w:rPr>
          <w:rFonts w:ascii="Times New Roman" w:eastAsia="Times New Roman" w:hAnsi="Times New Roman" w:cs="Times New Roman"/>
          <w:b/>
          <w:bCs/>
          <w:i/>
          <w:iCs/>
          <w:color w:val="000000"/>
          <w:spacing w:val="0"/>
          <w:w w:val="80"/>
          <w:position w:val="0"/>
          <w:sz w:val="18"/>
          <w:szCs w:val="18"/>
          <w:shd w:val="clear" w:color="auto" w:fill="auto"/>
          <w:lang w:val="de-DE" w:eastAsia="de-DE" w:bidi="de-DE"/>
        </w:rPr>
        <w:t>Leben und Werke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fr-FR" w:eastAsia="fr-FR" w:bidi="fr-FR"/>
        </w:rPr>
        <w:t xml:space="preserve">vols., Halle, </w:t>
      </w:r>
      <w:r>
        <w:rPr>
          <w:rFonts w:ascii="Times New Roman" w:eastAsia="Times New Roman" w:hAnsi="Times New Roman" w:cs="Times New Roman"/>
          <w:color w:val="000000"/>
          <w:spacing w:val="0"/>
          <w:w w:val="100"/>
          <w:position w:val="0"/>
          <w:shd w:val="clear" w:color="auto" w:fill="auto"/>
          <w:lang w:val="en-US" w:eastAsia="en-US" w:bidi="en-US"/>
        </w:rPr>
        <w:t>1902-1904).</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SARASUATI, </w:t>
      </w:r>
      <w:r>
        <w:rPr>
          <w:rFonts w:ascii="Times New Roman" w:eastAsia="Times New Roman" w:hAnsi="Times New Roman" w:cs="Times New Roman"/>
          <w:color w:val="000000"/>
          <w:spacing w:val="0"/>
          <w:w w:val="100"/>
          <w:position w:val="0"/>
          <w:shd w:val="clear" w:color="auto" w:fill="auto"/>
          <w:lang w:val="en-US" w:eastAsia="en-US" w:bidi="en-US"/>
        </w:rPr>
        <w:t xml:space="preserve">in early Hindu mythology,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river-goddess; in later myths the wife of Brahma, goddess of wisdom and science, mother of the Vedas, and inventor of the Devanagari letters. There has been much dispute as to the stream of which she is a personification. Some have identified it with the Avestan river, Haragaiti, in Afghanistan, while others think the term a general one for any great river, and in particular the sacred name for the Indus, Sindhu, being the popular one.</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Two small but sacred rivers in India are still called Saraswati, one in the Punjab and the other in Gujarat, both of which ultimately lose themselves in the sand. According to one legend, the Punjab river reappears to unite with the Ganges and Jumna at Allahabad. From this river is derived the name of the Sarswat Brahmans, the most numerous and influential of the priestly class in the Punjab, with whom the Gaur Sarswats or Shenvis of the Konkan claim connexion.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SARATOGA, BATTLES OF. The British campaign for the year 1777 in America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American War of Independence) </w:t>
      </w:r>
      <w:r>
        <w:rPr>
          <w:rFonts w:ascii="Times New Roman" w:eastAsia="Times New Roman" w:hAnsi="Times New Roman" w:cs="Times New Roman"/>
          <w:color w:val="000000"/>
          <w:spacing w:val="0"/>
          <w:w w:val="100"/>
          <w:position w:val="0"/>
          <w:shd w:val="clear" w:color="auto" w:fill="auto"/>
          <w:lang w:val="en-US" w:eastAsia="en-US" w:bidi="en-US"/>
        </w:rPr>
        <w:t>involved the operations of two armies moving from opposite and distant points. The lack of co-operation between the two led to the loss of one of them. This was General Burgoyne's force of 7000 men which marched from Canada in June 1777 with the view of reaching the upper Hudson and combining with British troops from New York to isolate New England from the colonies below. Lord Howe, commander-in-chief of the British in America, who had received no instructions binding him in detail to co-operate with Burgoyne, moved southward and captured Philadelphia. In drawing Washington after him he claimed to be assisting Burgoyne. Burgoyne pushed down by way of Lakes Champlain and George and approached the American army under General Horatio Gates in its fortified camp near Stillwater on the W. bank of the Hudson, about 24 m. N. of Albany. On the 19th Burgoyne attacked the American left under General Benedict Arnold. The battle, fought in densely wooded country till nightfall, was severe but indecisive. The British suffered heavy losses, especially in officers. This is variously known as the First Battle of Saratoga, the Battle of Freeman’s Farm, the First Battle of Bemis Heights or the First Battle of Stillwater. Burgoyne fortified himself on the site of the action, and on October 7th made another attempt to turn the American left. An engagement still more severe than that of the 19th, known as the Second Battle of Saratoga, followed, in which the Americans under Benedict Arnold, E. Poor and D. Morgan drove the enemy into their works. Among many British officers killed was Brigadier-General Simon Fraser, who had been the life of the expedition. Crippled to an alarming extent, Burgoyne retreated. He was closely followed and harassed, and on the 16th of October nearly surrounded. On the 17th he surrendered, with about 6000 men, near the present village of Saratoga Springs.</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 L. Stone, </w:t>
      </w:r>
      <w:r>
        <w:rPr>
          <w:rFonts w:ascii="Times New Roman" w:eastAsia="Times New Roman" w:hAnsi="Times New Roman" w:cs="Times New Roman"/>
          <w:b/>
          <w:bCs/>
          <w:i/>
          <w:iCs/>
          <w:color w:val="000000"/>
          <w:spacing w:val="0"/>
          <w:w w:val="80"/>
          <w:position w:val="0"/>
          <w:sz w:val="18"/>
          <w:szCs w:val="18"/>
          <w:shd w:val="clear" w:color="auto" w:fill="auto"/>
          <w:lang w:val="en-US" w:eastAsia="en-US" w:bidi="en-US"/>
        </w:rPr>
        <w:t>Campaign of Lieut.-Gen. John Burgoyne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(Albany, 1877).</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SARATOGA SPRINGS, a village of Saratoga county, New York, U.S.A., about 38 m. N. of Albany, and about 12 m. W. of the Hudson river. Pop. (1900) 12,409, of whom 1684 were foreign-born and 619 were negroes; (1910) 12,693.</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Saratoga Springs is served by the Delaware &amp; Hudson and the Boston &amp; Maine railways and by several interurban electric lines. The village is in a region of great historic interest, is famous for its medicinal mineral springs, and has long been one of the most popular watering places in America. Its hotels accommo</w:t>
        <w:softHyphen/>
        <w:t>date more than 20,000 guests. Of the hotels, the best known are the United States, Congress Hall, the Grand Union and the American-Adelphi. The springs, of which there are more than forty, were known in colonial times.</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waters, all having the same ingredients but in varying pro</w:t>
        <w:softHyphen/>
        <w:t xml:space="preserve">portions, are heavily charged with carbonic acid gas, and contain considerable quantities of </w:t>
      </w:r>
      <w:r>
        <w:rPr>
          <w:rFonts w:ascii="Times New Roman" w:eastAsia="Times New Roman" w:hAnsi="Times New Roman" w:cs="Times New Roman"/>
          <w:color w:val="000000"/>
          <w:spacing w:val="0"/>
          <w:w w:val="100"/>
          <w:position w:val="0"/>
          <w:shd w:val="clear" w:color="auto" w:fill="auto"/>
          <w:lang w:val="fr-FR" w:eastAsia="fr-FR" w:bidi="fr-FR"/>
        </w:rPr>
        <w:t xml:space="preserve">bicarbonates </w:t>
      </w:r>
      <w:r>
        <w:rPr>
          <w:rFonts w:ascii="Times New Roman" w:eastAsia="Times New Roman" w:hAnsi="Times New Roman" w:cs="Times New Roman"/>
          <w:color w:val="000000"/>
          <w:spacing w:val="0"/>
          <w:w w:val="100"/>
          <w:position w:val="0"/>
          <w:shd w:val="clear" w:color="auto" w:fill="auto"/>
          <w:lang w:val="en-US" w:eastAsia="en-US" w:bidi="en-US"/>
        </w:rPr>
        <w:t>of lime and magnesium, and chloride of sodium. They rise in a stratum of Potsdam sandstone, underlaid by Laurentian gneiss, &amp;c., and reach the surface after passing through a bed of blue clay. The most noteworthy springs are Congress, Vichy, Arondack, Hathorn, Patterson, High Rock, Put</w:t>
        <w:softHyphen/>
        <w:t>nam, Star, Red, Lincoln, Victoria, Carlsbad and Geyser. Some of the springs originally rose above the surface by their own force, but with the boring of new springs and the pumping for carbonic acid gas south of the village the pressure was greatly lessened; the courts interfered to stop the pumping and it was prohibited by the state legislature. These measures, however, were not effective, and in May 1909 an act was passed establishing a state reservation at Saratoga, creating a commission of three to select the lands to be taken over by the state, and providing for an issue of bonds for $600,000 to buy the springs. Saratoga Lake, a beautiful body of water 6 m. long and I m. wide, 3½ m. south-east of the village, is a favourite resort.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streets are well-shaded and broad, with side stretches of lawn between the sidewalk and the curb. There is a speedway and a famous race-track, where there are annual running races. In the village are Woodlawn Park (1200 acres), a town-hall, a state armoury, a public library, several theatres and a number of private hospitals and sanatoriums. The Convention Hall has been the meeting place of many conventions; near it is a re</w:t>
        <w:softHyphen/>
        <w:t xml:space="preserve">production of the House of </w:t>
      </w:r>
      <w:r>
        <w:rPr>
          <w:rFonts w:ascii="Times New Roman" w:eastAsia="Times New Roman" w:hAnsi="Times New Roman" w:cs="Times New Roman"/>
          <w:color w:val="000000"/>
          <w:spacing w:val="0"/>
          <w:w w:val="100"/>
          <w:position w:val="0"/>
          <w:shd w:val="clear" w:color="auto" w:fill="auto"/>
          <w:lang w:val="fr-FR" w:eastAsia="fr-FR" w:bidi="fr-FR"/>
        </w:rPr>
        <w:t xml:space="preserve">Pansa </w:t>
      </w:r>
      <w:r>
        <w:rPr>
          <w:rFonts w:ascii="Times New Roman" w:eastAsia="Times New Roman" w:hAnsi="Times New Roman" w:cs="Times New Roman"/>
          <w:color w:val="000000"/>
          <w:spacing w:val="0"/>
          <w:w w:val="100"/>
          <w:position w:val="0"/>
          <w:shd w:val="clear" w:color="auto" w:fill="auto"/>
          <w:lang w:val="en-US" w:eastAsia="en-US" w:bidi="en-US"/>
        </w:rPr>
        <w:t xml:space="preserve">at Pompeii, built by </w:t>
      </w:r>
      <w:r>
        <w:rPr>
          <w:rFonts w:ascii="Times New Roman" w:eastAsia="Times New Roman" w:hAnsi="Times New Roman" w:cs="Times New Roman"/>
          <w:color w:val="000000"/>
          <w:spacing w:val="0"/>
          <w:w w:val="100"/>
          <w:position w:val="0"/>
          <w:sz w:val="18"/>
          <w:szCs w:val="18"/>
          <w:shd w:val="clear" w:color="auto" w:fill="auto"/>
          <w:lang w:val="en-US" w:eastAsia="en-US" w:bidi="en-US"/>
        </w:rPr>
        <w:t>Fra</w:t>
      </w:r>
      <w:r>
        <w:rPr>
          <w:rFonts w:ascii="Times New Roman" w:eastAsia="Times New Roman" w:hAnsi="Times New Roman" w:cs="Times New Roman"/>
          <w:color w:val="000000"/>
          <w:spacing w:val="0"/>
          <w:w w:val="100"/>
          <w:position w:val="0"/>
          <w:sz w:val="18"/>
          <w:szCs w:val="18"/>
          <w:u w:val="single"/>
          <w:shd w:val="clear" w:color="auto" w:fill="auto"/>
          <w:lang w:val="en-US" w:eastAsia="en-US" w:bidi="en-US"/>
        </w:rPr>
        <w:t xml:space="preserve">nklin </w:t>
      </w:r>
      <w:r>
        <w:rPr>
          <w:rFonts w:ascii="Times New Roman" w:eastAsia="Times New Roman" w:hAnsi="Times New Roman" w:cs="Times New Roman"/>
          <w:color w:val="000000"/>
          <w:spacing w:val="0"/>
          <w:w w:val="100"/>
          <w:position w:val="0"/>
          <w:shd w:val="clear" w:color="auto" w:fill="auto"/>
          <w:lang w:val="en-US" w:eastAsia="en-US" w:bidi="en-US"/>
        </w:rPr>
        <w:t>W. Smith. The principal business is the bottling and shipping of the mineral waters which are sold in large quantities and exported to many foreign countries. Among the manufactures are patent medicines, druggists’ preparations and chemicals, silk gloves, textiles, foundry products and boilers and engines. In 1905 the value of the factory product was $1,709,073, an increase of 28∙1% since 1900.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Saratoga country was a favourite summer camping ground of the Iroquois, particularly the Mohawks, who were attracted thither by the medicinal value of the springs long before Europeans visited the region. The Indian name, “ Sa-ragh-to-ga ” or “ Se-rach-ta-gue,” is said to have meant “ hillside country of the great water ” or “ place of the swift water.” The district became during the colonial wars a theatre of hostilities between the French and English colonists and their Indian allies. In 1693 a French expedition was checked in a sharp conflict near Mt McGregor by an English and colonial force under Governor Benjamin Fletcher and Peter Schuyler. Early in the 18th century the region along the upper Hudson began to be settled, the settlement on the Hudson at the mouth of the Fishkill, directly east of the present Saratoga Springs, being known first as Saratoga (later “ Old Saratoga ”) and finally as Schuylerville (pop. in 1905, 1529), in honour of the Schuyler family. Upon the settlement the French and Indians descended in 1745, and massacred many of the inhabitants. After the close of the Seven Years’ War, there was a new influx of settlers. Near Stillwater (pop. in 1905,973), about 5 m. south-east of the present village, the battles of Saratoga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were fought during the War of Independence. On the site of the present village a small log lodging house for the reception of visitors was built in 1771. After the close of the War of Independence, the fame of the Springs as a health resort spread abroad, and many sought them annually. In 1791 Gideon Putnam (1764-1812), a nephew of Major-General Israel Putnam, bought a large tract of land here; he built the first inn (on the site of the present Grand Union Hotel). Other hotels were erected within the next few years ; between 1820 and 1830, by which time the Springs had become one of the most popular of American resorts, several large barn</w:t>
        <w:softHyphen/>
        <w:t>like wooden hotels were constructed; and Saratoga Springs was incorporated as a village in 1826.</w:t>
      </w:r>
    </w:p>
    <w:sectPr>
      <w:footnotePr>
        <w:pos w:val="pageBottom"/>
        <w:numFmt w:val="decimal"/>
        <w:numRestart w:val="continuous"/>
      </w:footnotePr>
      <w:pgSz w:w="12240" w:h="15840"/>
      <w:pgMar w:top="912" w:left="846" w:right="961" w:bottom="5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2)_"/>
    <w:basedOn w:val="DefaultParagraphFont"/>
    <w:link w:val="Style8"/>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8">
    <w:name w:val="Body text (2)"/>
    <w:basedOn w:val="Normal"/>
    <w:link w:val="CharStyle9"/>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