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the ancients had not dreamed, and showed how ridicule could be conveyed in a form difficult to resent. About the same time, probably, the popular instinct, perhaps deriving a hint from Rabbinical literature, fashioned Morolf, the prototype of Sancho Panza, the incarnation of sublunar mother-wit contrasted with the starry wisdom of Solomon;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Till </w:t>
      </w:r>
      <w:r>
        <w:rPr>
          <w:rFonts w:ascii="Times New Roman" w:eastAsia="Times New Roman" w:hAnsi="Times New Roman" w:cs="Times New Roman"/>
          <w:i/>
          <w:iCs/>
          <w:color w:val="000000"/>
          <w:spacing w:val="0"/>
          <w:w w:val="100"/>
          <w:position w:val="0"/>
          <w:shd w:val="clear" w:color="auto" w:fill="auto"/>
          <w:lang w:val="de-DE" w:eastAsia="de-DE" w:bidi="de-DE"/>
        </w:rPr>
        <w:t>Eulenspiegel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 kindred Teutonic creation, but later and less significant.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Piers Ploughman, </w:t>
      </w:r>
      <w:r>
        <w:rPr>
          <w:rFonts w:ascii="Times New Roman" w:eastAsia="Times New Roman" w:hAnsi="Times New Roman" w:cs="Times New Roman"/>
          <w:color w:val="000000"/>
          <w:spacing w:val="0"/>
          <w:w w:val="100"/>
          <w:position w:val="0"/>
          <w:shd w:val="clear" w:color="auto" w:fill="auto"/>
          <w:lang w:val="en-US" w:eastAsia="en-US" w:bidi="en-US"/>
        </w:rPr>
        <w:t>the next great work of the class, adapts the apocalyptic machinery of monastic and anchoritic vision to the purposes of satire, as it had often before been adapted to those of ecclesiastical aggrandizement. The clergy were scourged with their own rod by a poet and a Puritan too earnest to be urbane. Satire is a distinct element in Chaucer and Boccaccio, who nevertheless cannot be ranked as satirists. The mock-heroic is successfully revived by Luigi Pulci, and the political songs of the 14th and 15th centuries attest the diffusion of a sense of humour among the people at large. The Renaissance, restoring the knowledge and encouraging the imitation of classic models, sharpened the weapons and enlarged the armoury of the satirist. Partly, perhaps, because Erasmus was no poet, the Lucianic dialogue was the form in the ascendant of his age. Erasmus not merely employed it against superstition and ignorance with infinite and irresistible pleasantry, but fired by his example a bolder writer, un</w:t>
        <w:softHyphen/>
        <w:t xml:space="preserve">trammelled by the dignity of an arbiter in the republic of letters. The ridicule of Ulric von Hutten’s </w:t>
      </w:r>
      <w:r>
        <w:rPr>
          <w:rFonts w:ascii="Times New Roman" w:eastAsia="Times New Roman" w:hAnsi="Times New Roman" w:cs="Times New Roman"/>
          <w:i/>
          <w:iCs/>
          <w:color w:val="000000"/>
          <w:spacing w:val="0"/>
          <w:w w:val="100"/>
          <w:position w:val="0"/>
          <w:shd w:val="clear" w:color="auto" w:fill="auto"/>
          <w:lang w:val="en-US" w:eastAsia="en-US" w:bidi="en-US"/>
        </w:rPr>
        <w:t>Epistolae obscurorum virorum</w:t>
      </w:r>
      <w:r>
        <w:rPr>
          <w:rFonts w:ascii="Times New Roman" w:eastAsia="Times New Roman" w:hAnsi="Times New Roman" w:cs="Times New Roman"/>
          <w:color w:val="000000"/>
          <w:spacing w:val="0"/>
          <w:w w:val="100"/>
          <w:position w:val="0"/>
          <w:shd w:val="clear" w:color="auto" w:fill="auto"/>
          <w:lang w:val="en-US" w:eastAsia="en-US" w:bidi="en-US"/>
        </w:rPr>
        <w:t xml:space="preserve"> is annihilating, and the art there for the first time fully exemplified though long previously introduced by Plato, of putting the ridicule into the mouth of the victim, is perhaps the most deadly shaft in the quiver of sarcasm. It was afterwards used with even more pointed wit though with less exuberance of humour by Pascal, the first modern example, if Dante may not be so classed of a great tragic satirist. Ethical satire is vigorously represented by Sebastian Brant and his imitator Alexander Barclay; but in general the metrical satirists of the age seem tame in comparison with Erasmus and </w:t>
      </w:r>
      <w:r>
        <w:rPr>
          <w:rFonts w:ascii="Times New Roman" w:eastAsia="Times New Roman" w:hAnsi="Times New Roman" w:cs="Times New Roman"/>
          <w:color w:val="000000"/>
          <w:spacing w:val="0"/>
          <w:w w:val="100"/>
          <w:position w:val="0"/>
          <w:shd w:val="clear" w:color="auto" w:fill="auto"/>
          <w:lang w:val="de-DE" w:eastAsia="de-DE" w:bidi="de-DE"/>
        </w:rPr>
        <w:t xml:space="preserve">Hutten, </w:t>
      </w:r>
      <w:r>
        <w:rPr>
          <w:rFonts w:ascii="Times New Roman" w:eastAsia="Times New Roman" w:hAnsi="Times New Roman" w:cs="Times New Roman"/>
          <w:color w:val="000000"/>
          <w:spacing w:val="0"/>
          <w:w w:val="100"/>
          <w:position w:val="0"/>
          <w:shd w:val="clear" w:color="auto" w:fill="auto"/>
          <w:lang w:val="en-US" w:eastAsia="en-US" w:bidi="en-US"/>
        </w:rPr>
        <w:t>though including the great name of Machiavelli. Sir Thomas More cannot be accounted a satirist, but his idea of an imaginary commonwealth embodied the germ of much subsequent satire.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succeeding period politics take the place of literature and religion, producing in France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Satyre </w:t>
      </w:r>
      <w:r>
        <w:rPr>
          <w:rFonts w:ascii="Times New Roman" w:eastAsia="Times New Roman" w:hAnsi="Times New Roman" w:cs="Times New Roman"/>
          <w:i/>
          <w:iCs/>
          <w:color w:val="000000"/>
          <w:spacing w:val="0"/>
          <w:w w:val="100"/>
          <w:position w:val="0"/>
          <w:shd w:val="clear" w:color="auto" w:fill="auto"/>
          <w:lang w:val="en-US" w:eastAsia="en-US" w:bidi="en-US"/>
        </w:rPr>
        <w:t>Menippée,</w:t>
      </w:r>
      <w:r>
        <w:rPr>
          <w:rFonts w:ascii="Times New Roman" w:eastAsia="Times New Roman" w:hAnsi="Times New Roman" w:cs="Times New Roman"/>
          <w:color w:val="000000"/>
          <w:spacing w:val="0"/>
          <w:w w:val="100"/>
          <w:position w:val="0"/>
          <w:shd w:val="clear" w:color="auto" w:fill="auto"/>
          <w:lang w:val="en-US" w:eastAsia="en-US" w:bidi="en-US"/>
        </w:rPr>
        <w:t xml:space="preserve"> elsewhere the satirical romance as represented by the </w:t>
      </w:r>
      <w:r>
        <w:rPr>
          <w:rFonts w:ascii="Times New Roman" w:eastAsia="Times New Roman" w:hAnsi="Times New Roman" w:cs="Times New Roman"/>
          <w:i/>
          <w:iCs/>
          <w:color w:val="000000"/>
          <w:spacing w:val="0"/>
          <w:w w:val="100"/>
          <w:position w:val="0"/>
          <w:shd w:val="clear" w:color="auto" w:fill="auto"/>
          <w:lang w:val="en-US" w:eastAsia="en-US" w:bidi="en-US"/>
        </w:rPr>
        <w:t>Argenis</w:t>
      </w:r>
      <w:r>
        <w:rPr>
          <w:rFonts w:ascii="Times New Roman" w:eastAsia="Times New Roman" w:hAnsi="Times New Roman" w:cs="Times New Roman"/>
          <w:color w:val="000000"/>
          <w:spacing w:val="0"/>
          <w:w w:val="100"/>
          <w:position w:val="0"/>
          <w:shd w:val="clear" w:color="auto" w:fill="auto"/>
          <w:lang w:val="en-US" w:eastAsia="en-US" w:bidi="en-US"/>
        </w:rPr>
        <w:t xml:space="preserve"> of Barclay, which may be defined as the adaptation of the style of Petronius to state affairs. In Spain, where no freedom of criticism existed, the satiric spirit took refuge in the </w:t>
      </w:r>
      <w:r>
        <w:rPr>
          <w:rFonts w:ascii="Times New Roman" w:eastAsia="Times New Roman" w:hAnsi="Times New Roman" w:cs="Times New Roman"/>
          <w:i/>
          <w:iCs/>
          <w:color w:val="000000"/>
          <w:spacing w:val="0"/>
          <w:w w:val="100"/>
          <w:position w:val="0"/>
          <w:shd w:val="clear" w:color="auto" w:fill="auto"/>
          <w:lang w:val="en-US" w:eastAsia="en-US" w:bidi="en-US"/>
        </w:rPr>
        <w:t>novela picaresca,</w:t>
      </w:r>
      <w:r>
        <w:rPr>
          <w:rFonts w:ascii="Times New Roman" w:eastAsia="Times New Roman" w:hAnsi="Times New Roman" w:cs="Times New Roman"/>
          <w:color w:val="000000"/>
          <w:spacing w:val="0"/>
          <w:w w:val="100"/>
          <w:position w:val="0"/>
          <w:shd w:val="clear" w:color="auto" w:fill="auto"/>
          <w:lang w:val="en-US" w:eastAsia="en-US" w:bidi="en-US"/>
        </w:rPr>
        <w:t xml:space="preserve"> the prototype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Sage and the ancestor of Fielding; Quevedo revived the medieval device of the vision as the vehicle of reproof; and Cervantes’s immortal work might be classed as a satire were it not so much more. About the same time we notice the appearance of direct imitation of the Roman satirists in English literature in the writings of Donne, Hall and Marston, the further elaboration of the mock-heroic by Tassoni, and the culmination of classical Italian satire in Salvator Rosa. The prodigious development of the drama at this time absorbed much talent that would otherwise have been devoted to satire proper. Most of the great dramatists of the 17th century were more or less satirists, Molière perhaps the most consummate that ever existed; but, with an occasional exception like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Précieuses </w:t>
      </w:r>
      <w:r>
        <w:rPr>
          <w:rFonts w:ascii="Times New Roman" w:eastAsia="Times New Roman" w:hAnsi="Times New Roman" w:cs="Times New Roman"/>
          <w:i/>
          <w:iCs/>
          <w:color w:val="000000"/>
          <w:spacing w:val="0"/>
          <w:w w:val="100"/>
          <w:position w:val="0"/>
          <w:shd w:val="clear" w:color="auto" w:fill="auto"/>
          <w:lang w:val="en-US" w:eastAsia="en-US" w:bidi="en-US"/>
        </w:rPr>
        <w:t>ridicules,</w:t>
      </w:r>
      <w:r>
        <w:rPr>
          <w:rFonts w:ascii="Times New Roman" w:eastAsia="Times New Roman" w:hAnsi="Times New Roman" w:cs="Times New Roman"/>
          <w:color w:val="000000"/>
          <w:spacing w:val="0"/>
          <w:w w:val="100"/>
          <w:position w:val="0"/>
          <w:shd w:val="clear" w:color="auto" w:fill="auto"/>
          <w:lang w:val="en-US" w:eastAsia="en-US" w:bidi="en-US"/>
        </w:rPr>
        <w:t xml:space="preserve"> the range of their works is too wide to admit of their being regarded as satires. The next great example of unadulterated satire is Butler’s </w:t>
      </w:r>
      <w:r>
        <w:rPr>
          <w:rFonts w:ascii="Times New Roman" w:eastAsia="Times New Roman" w:hAnsi="Times New Roman" w:cs="Times New Roman"/>
          <w:i/>
          <w:iCs/>
          <w:color w:val="000000"/>
          <w:spacing w:val="0"/>
          <w:w w:val="100"/>
          <w:position w:val="0"/>
          <w:shd w:val="clear" w:color="auto" w:fill="auto"/>
          <w:lang w:val="en-US" w:eastAsia="en-US" w:bidi="en-US"/>
        </w:rPr>
        <w:t>Hudibras,</w:t>
      </w:r>
      <w:r>
        <w:rPr>
          <w:rFonts w:ascii="Times New Roman" w:eastAsia="Times New Roman" w:hAnsi="Times New Roman" w:cs="Times New Roman"/>
          <w:color w:val="000000"/>
          <w:spacing w:val="0"/>
          <w:w w:val="100"/>
          <w:position w:val="0"/>
          <w:shd w:val="clear" w:color="auto" w:fill="auto"/>
          <w:lang w:val="en-US" w:eastAsia="en-US" w:bidi="en-US"/>
        </w:rPr>
        <w:t xml:space="preserve"> and perhaps one more truly representative of satiric aims and methods cannot easily be found. At the same period dignified political satire, bordering on invective, received a great develop</w:t>
        <w:softHyphen/>
        <w:t xml:space="preserve">ment in Andrew Marvell’s </w:t>
      </w:r>
      <w:r>
        <w:rPr>
          <w:rFonts w:ascii="Times New Roman" w:eastAsia="Times New Roman" w:hAnsi="Times New Roman" w:cs="Times New Roman"/>
          <w:i/>
          <w:iCs/>
          <w:color w:val="000000"/>
          <w:spacing w:val="0"/>
          <w:w w:val="100"/>
          <w:position w:val="0"/>
          <w:shd w:val="clear" w:color="auto" w:fill="auto"/>
          <w:lang w:val="en-US" w:eastAsia="en-US" w:bidi="en-US"/>
        </w:rPr>
        <w:t>Advices to a Painter,</w:t>
      </w:r>
      <w:r>
        <w:rPr>
          <w:rFonts w:ascii="Times New Roman" w:eastAsia="Times New Roman" w:hAnsi="Times New Roman" w:cs="Times New Roman"/>
          <w:color w:val="000000"/>
          <w:spacing w:val="0"/>
          <w:w w:val="100"/>
          <w:position w:val="0"/>
          <w:shd w:val="clear" w:color="auto" w:fill="auto"/>
          <w:lang w:val="en-US" w:eastAsia="en-US" w:bidi="en-US"/>
        </w:rPr>
        <w:t xml:space="preserve"> and was shortly afterwards carried to perfection in Dryden’s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Absalom and Achitophel;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light literary parody of which Aristophanes had given the pattern in his assaults on Euripides, and which Shakespeare had handled somewhat carelessly in the </w:t>
      </w:r>
      <w:r>
        <w:rPr>
          <w:rFonts w:ascii="Times New Roman" w:eastAsia="Times New Roman" w:hAnsi="Times New Roman" w:cs="Times New Roman"/>
          <w:i/>
          <w:iCs/>
          <w:color w:val="000000"/>
          <w:spacing w:val="0"/>
          <w:w w:val="100"/>
          <w:position w:val="0"/>
          <w:shd w:val="clear" w:color="auto" w:fill="auto"/>
          <w:lang w:val="en-US" w:eastAsia="en-US" w:bidi="en-US"/>
        </w:rPr>
        <w:t>Midsummer Night's Dream,</w:t>
      </w:r>
      <w:r>
        <w:rPr>
          <w:rFonts w:ascii="Times New Roman" w:eastAsia="Times New Roman" w:hAnsi="Times New Roman" w:cs="Times New Roman"/>
          <w:color w:val="000000"/>
          <w:spacing w:val="0"/>
          <w:w w:val="100"/>
          <w:position w:val="0"/>
          <w:shd w:val="clear" w:color="auto" w:fill="auto"/>
          <w:lang w:val="en-US" w:eastAsia="en-US" w:bidi="en-US"/>
        </w:rPr>
        <w:t xml:space="preserve"> was effectively revived in the duke of Buckingham’s </w:t>
      </w:r>
      <w:r>
        <w:rPr>
          <w:rFonts w:ascii="Times New Roman" w:eastAsia="Times New Roman" w:hAnsi="Times New Roman" w:cs="Times New Roman"/>
          <w:i/>
          <w:iCs/>
          <w:color w:val="000000"/>
          <w:spacing w:val="0"/>
          <w:w w:val="100"/>
          <w:position w:val="0"/>
          <w:shd w:val="clear" w:color="auto" w:fill="auto"/>
          <w:lang w:val="en-US" w:eastAsia="en-US" w:bidi="en-US"/>
        </w:rPr>
        <w:t>Rehearsal.</w:t>
      </w:r>
      <w:r>
        <w:rPr>
          <w:rFonts w:ascii="Times New Roman" w:eastAsia="Times New Roman" w:hAnsi="Times New Roman" w:cs="Times New Roman"/>
          <w:color w:val="000000"/>
          <w:spacing w:val="0"/>
          <w:w w:val="100"/>
          <w:position w:val="0"/>
          <w:shd w:val="clear" w:color="auto" w:fill="auto"/>
          <w:lang w:val="en-US" w:eastAsia="en-US" w:bidi="en-US"/>
        </w:rPr>
        <w:t xml:space="preserve"> In France </w:t>
      </w:r>
      <w:r>
        <w:rPr>
          <w:rFonts w:ascii="Times New Roman" w:eastAsia="Times New Roman" w:hAnsi="Times New Roman" w:cs="Times New Roman"/>
          <w:color w:val="000000"/>
          <w:spacing w:val="0"/>
          <w:w w:val="100"/>
          <w:position w:val="0"/>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hd w:val="clear" w:color="auto" w:fill="auto"/>
          <w:lang w:val="en-US" w:eastAsia="en-US" w:bidi="en-US"/>
        </w:rPr>
        <w:t xml:space="preserve">was long held to have attained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 </w:t>
      </w:r>
      <w:r>
        <w:rPr>
          <w:rFonts w:ascii="Times New Roman" w:eastAsia="Times New Roman" w:hAnsi="Times New Roman" w:cs="Times New Roman"/>
          <w:i/>
          <w:iCs/>
          <w:color w:val="000000"/>
          <w:spacing w:val="0"/>
          <w:w w:val="100"/>
          <w:position w:val="0"/>
          <w:shd w:val="clear" w:color="auto" w:fill="auto"/>
          <w:lang w:val="en-US" w:eastAsia="en-US" w:bidi="en-US"/>
        </w:rPr>
        <w:t>plus ultra</w:t>
      </w:r>
      <w:r>
        <w:rPr>
          <w:rFonts w:ascii="Times New Roman" w:eastAsia="Times New Roman" w:hAnsi="Times New Roman" w:cs="Times New Roman"/>
          <w:color w:val="000000"/>
          <w:spacing w:val="0"/>
          <w:w w:val="100"/>
          <w:position w:val="0"/>
          <w:shd w:val="clear" w:color="auto" w:fill="auto"/>
          <w:lang w:val="en-US" w:eastAsia="en-US" w:bidi="en-US"/>
        </w:rPr>
        <w:t xml:space="preserve"> of the Horatian style in satire and of the mock-heroic, but Pope was soon to show that further progress was possible in both. The polish, point and concentration of Pope remain unsurpassed, as do the amenity of Addison and the daring yet severely logical imagination of Swift ; while the </w:t>
      </w:r>
      <w:r>
        <w:rPr>
          <w:rFonts w:ascii="Times New Roman" w:eastAsia="Times New Roman" w:hAnsi="Times New Roman" w:cs="Times New Roman"/>
          <w:i/>
          <w:iCs/>
          <w:color w:val="000000"/>
          <w:spacing w:val="0"/>
          <w:w w:val="100"/>
          <w:position w:val="0"/>
          <w:shd w:val="clear" w:color="auto" w:fill="auto"/>
          <w:lang w:val="en-US" w:eastAsia="en-US" w:bidi="en-US"/>
        </w:rPr>
        <w:t>History of John Bull</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de-DE" w:eastAsia="de-DE" w:bidi="de-DE"/>
        </w:rPr>
        <w:t>Pseudologia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place their friend Arbuthnot in the first rank of political satirists.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18th century was, indeed, the age of satire. Serious poetry had for the time worn itself out; the most original geniuses of the age, Swift, Defoe and Richardson, are decidedly prosaic, and Pope, though a true poet, is less of a poet than Dryden. In process of time imaginative power revives in Goldsmith and Rousseau; meanwhile Fielding and Smollett have fitted the novel to be the vehicle of satire and much beside, and the literary stage has for a time been almost wholly engrossed by a colossal satirist, a man who has dared the universal application of Shaftesbury’s maxim that ridicule is the test of truth. The world had never before seen a satirist on the scale of Voltaire, nor had satire ever played such a part as a factor in impending change. As a master of sarcastic mockery he is un- surpassed ; his manner is entirely his own; and he is one of the most intensely national of writers, notwithstanding his vast obligations to English humorists, statesmen and philosophers. English humour also played an important part in the literary regeneration of Germany, where, after Liscow and Rabener, imitators of Swift and the essayists,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Lessing, imbued with Pope but not mastered by him, showed how powerful an auxiliary satire can be to criticism—a relation which Pope had somewhat inverted. Another great German writer, Wieland, owes little to the English, but adapts Lucian and Petronius to the 18th century with playful if somewhat mannered grace. Kortum’s </w:t>
      </w:r>
      <w:r>
        <w:rPr>
          <w:rFonts w:ascii="Times New Roman" w:eastAsia="Times New Roman" w:hAnsi="Times New Roman" w:cs="Times New Roman"/>
          <w:i/>
          <w:iCs/>
          <w:color w:val="000000"/>
          <w:spacing w:val="0"/>
          <w:w w:val="100"/>
          <w:position w:val="0"/>
          <w:shd w:val="clear" w:color="auto" w:fill="auto"/>
          <w:lang w:val="en-US" w:eastAsia="en-US" w:bidi="en-US"/>
        </w:rPr>
        <w:t>Jobsiad,</w:t>
      </w:r>
      <w:r>
        <w:rPr>
          <w:rFonts w:ascii="Times New Roman" w:eastAsia="Times New Roman" w:hAnsi="Times New Roman" w:cs="Times New Roman"/>
          <w:color w:val="000000"/>
          <w:spacing w:val="0"/>
          <w:w w:val="100"/>
          <w:position w:val="0"/>
          <w:shd w:val="clear" w:color="auto" w:fill="auto"/>
          <w:lang w:val="en-US" w:eastAsia="en-US" w:bidi="en-US"/>
        </w:rPr>
        <w:t xml:space="preserve"> a most humorous poem, innovates successfully upon established models by making low life, instead of chivalry, the subject of burlesque. Goethe and Schiller, Scott and Wordsworth, are now at hand, and as imagination gains ground satire declines. Byron, who in the 18th century would have been the greatest of satirists, is hurried by the spirit of his age into passion and description, bequeathing, however, a splendid proof of the possibility of allying satire with sublimity in his </w:t>
      </w:r>
      <w:r>
        <w:rPr>
          <w:rFonts w:ascii="Times New Roman" w:eastAsia="Times New Roman" w:hAnsi="Times New Roman" w:cs="Times New Roman"/>
          <w:i/>
          <w:iCs/>
          <w:color w:val="000000"/>
          <w:spacing w:val="0"/>
          <w:w w:val="100"/>
          <w:position w:val="0"/>
          <w:shd w:val="clear" w:color="auto" w:fill="auto"/>
          <w:lang w:val="en-US" w:eastAsia="en-US" w:bidi="en-US"/>
        </w:rPr>
        <w:t>Vision of Judgment.</w:t>
      </w:r>
      <w:r>
        <w:rPr>
          <w:rFonts w:ascii="Times New Roman" w:eastAsia="Times New Roman" w:hAnsi="Times New Roman" w:cs="Times New Roman"/>
          <w:color w:val="000000"/>
          <w:spacing w:val="0"/>
          <w:w w:val="100"/>
          <w:position w:val="0"/>
          <w:shd w:val="clear" w:color="auto" w:fill="auto"/>
          <w:lang w:val="en-US" w:eastAsia="en-US" w:bidi="en-US"/>
        </w:rPr>
        <w:t xml:space="preserve"> Moore gives the epigram a lyrical turn; </w:t>
      </w:r>
      <w:r>
        <w:rPr>
          <w:rFonts w:ascii="Times New Roman" w:eastAsia="Times New Roman" w:hAnsi="Times New Roman" w:cs="Times New Roman"/>
          <w:color w:val="000000"/>
          <w:spacing w:val="0"/>
          <w:w w:val="100"/>
          <w:position w:val="0"/>
          <w:shd w:val="clear" w:color="auto" w:fill="auto"/>
          <w:lang w:val="fr-FR" w:eastAsia="fr-FR" w:bidi="fr-FR"/>
        </w:rPr>
        <w:t xml:space="preserve">Béranger, </w:t>
      </w:r>
      <w:r>
        <w:rPr>
          <w:rFonts w:ascii="Times New Roman" w:eastAsia="Times New Roman" w:hAnsi="Times New Roman" w:cs="Times New Roman"/>
          <w:color w:val="000000"/>
          <w:spacing w:val="0"/>
          <w:w w:val="100"/>
          <w:position w:val="0"/>
          <w:shd w:val="clear" w:color="auto" w:fill="auto"/>
          <w:lang w:val="en-US" w:eastAsia="en-US" w:bidi="en-US"/>
        </w:rPr>
        <w:t xml:space="preserve">not for the first time in French literature, makes the gay chanson the instrument of biting jest; and the classic type receives fresh currency from Auguste </w:t>
      </w:r>
      <w:r>
        <w:rPr>
          <w:rFonts w:ascii="Times New Roman" w:eastAsia="Times New Roman" w:hAnsi="Times New Roman" w:cs="Times New Roman"/>
          <w:color w:val="000000"/>
          <w:spacing w:val="0"/>
          <w:w w:val="100"/>
          <w:position w:val="0"/>
          <w:shd w:val="clear" w:color="auto" w:fill="auto"/>
          <w:lang w:val="fr-FR" w:eastAsia="fr-FR" w:bidi="fr-FR"/>
        </w:rPr>
        <w:t xml:space="preserve">Barbier. </w:t>
      </w:r>
      <w:r>
        <w:rPr>
          <w:rFonts w:ascii="Times New Roman" w:eastAsia="Times New Roman" w:hAnsi="Times New Roman" w:cs="Times New Roman"/>
          <w:color w:val="000000"/>
          <w:spacing w:val="0"/>
          <w:w w:val="100"/>
          <w:position w:val="0"/>
          <w:shd w:val="clear" w:color="auto" w:fill="auto"/>
          <w:lang w:val="en-US" w:eastAsia="en-US" w:bidi="en-US"/>
        </w:rPr>
        <w:t xml:space="preserve">Courier, and subsequently Cormenin, raise the political pamphlet to literary dignity by their poignant wit. Peacock evolves a new type of novel from the study of Athenian comedy. Miss Edgeworth skirts the confines of satire, and Miss Austen seasons her novels with the most exquisite satiric traits. Washington Irving revives the manner of </w:t>
      </w:r>
      <w:r>
        <w:rPr>
          <w:rFonts w:ascii="Times New Roman" w:eastAsia="Times New Roman" w:hAnsi="Times New Roman" w:cs="Times New Roman"/>
          <w:i/>
          <w:iCs/>
          <w:color w:val="000000"/>
          <w:spacing w:val="0"/>
          <w:w w:val="100"/>
          <w:position w:val="0"/>
          <w:shd w:val="clear" w:color="auto" w:fill="auto"/>
          <w:lang w:val="en-US" w:eastAsia="en-US" w:bidi="en-US"/>
        </w:rPr>
        <w:t>The Spectator,</w:t>
      </w:r>
      <w:r>
        <w:rPr>
          <w:rFonts w:ascii="Times New Roman" w:eastAsia="Times New Roman" w:hAnsi="Times New Roman" w:cs="Times New Roman"/>
          <w:color w:val="000000"/>
          <w:spacing w:val="0"/>
          <w:w w:val="100"/>
          <w:position w:val="0"/>
          <w:shd w:val="clear" w:color="auto" w:fill="auto"/>
          <w:lang w:val="en-US" w:eastAsia="en-US" w:bidi="en-US"/>
        </w:rPr>
        <w:t xml:space="preserve"> and Tieck brings irony and persiflage to the dis</w:t>
        <w:softHyphen/>
        <w:t>cussion of critical problems. Two great satiric figures remain—one representative of his nation, the other most difficult to class. In all the characteristics of his genius Thackeray is thoroughly English, and the faults and follies he chastises are those especially character</w:t>
        <w:softHyphen/>
        <w:t xml:space="preserve">istic of British society. Good sense and the perception of the ridiculous are amalgamated in him ; his satire is a thoroughly British article, a little over-solid, a little wanting in finish, but honest, weighty and durable. Posterity must go to him for the humours of the age of Victoria, as they go to Addison for those of Anne’s. But Heine hardly belongs to any nation or country, time or place. He ceased to be a German without becoming a Frenchman, and a Jew without becoming a Christian. Only one portrait really suits him, that in Tieck’s allegorical tale, where he is represented as a capricious and mischievous elf ; but his song is sweeter and his command over the springs of laughter and tears greater than it suited Tieck’s purpose to acknowledge. In him the satiric spirit, long confined to established literary forms, seems to obtain unrestrained freedom to wander where it will, nor have the ancient models been followed since by any considerable satirist except the Italian Giusti. The machinery employed by Moore was indeed transplanted to America by James Russell Lowell, whose </w:t>
      </w:r>
      <w:r>
        <w:rPr>
          <w:rFonts w:ascii="Times New Roman" w:eastAsia="Times New Roman" w:hAnsi="Times New Roman" w:cs="Times New Roman"/>
          <w:i/>
          <w:iCs/>
          <w:color w:val="000000"/>
          <w:spacing w:val="0"/>
          <w:w w:val="100"/>
          <w:position w:val="0"/>
          <w:shd w:val="clear" w:color="auto" w:fill="auto"/>
          <w:lang w:val="en-US" w:eastAsia="en-US" w:bidi="en-US"/>
        </w:rPr>
        <w:t>Biglow Papers</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perhaps the highest moral level yet attained by satire.</w:t>
      </w:r>
    </w:p>
    <w:p>
      <w:pPr>
        <w:pStyle w:val="Style3"/>
        <w:keepNext w:val="0"/>
        <w:keepLines w:val="0"/>
        <w:widowControl w:val="0"/>
        <w:shd w:val="clear" w:color="auto" w:fill="auto"/>
        <w:tabs>
          <w:tab w:pos="433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no age was the spirit of satire so generally diffused as in the 19th century, but many of its eminent writers, while bordering on the domains of satire, escape the definition of satirist. The term cannot be properly applied to Dickens, the keen observer of the oddities of human life; or to George Eliot, the critic of its emptiness when not inspired by a worthy purpose; or to Balzac, the painter of French society; or to Trollope, the mirror of the middle classes of England. If </w:t>
      </w:r>
      <w:r>
        <w:rPr>
          <w:rFonts w:ascii="Times New Roman" w:eastAsia="Times New Roman" w:hAnsi="Times New Roman" w:cs="Times New Roman"/>
          <w:i/>
          <w:iCs/>
          <w:color w:val="000000"/>
          <w:spacing w:val="0"/>
          <w:w w:val="100"/>
          <w:position w:val="0"/>
          <w:shd w:val="clear" w:color="auto" w:fill="auto"/>
          <w:lang w:val="en-US" w:eastAsia="en-US" w:bidi="en-US"/>
        </w:rPr>
        <w:t>Sartor Resartus</w:t>
      </w:r>
      <w:r>
        <w:rPr>
          <w:rFonts w:ascii="Times New Roman" w:eastAsia="Times New Roman" w:hAnsi="Times New Roman" w:cs="Times New Roman"/>
          <w:color w:val="000000"/>
          <w:spacing w:val="0"/>
          <w:w w:val="100"/>
          <w:position w:val="0"/>
          <w:shd w:val="clear" w:color="auto" w:fill="auto"/>
          <w:lang w:val="en-US" w:eastAsia="en-US" w:bidi="en-US"/>
        </w:rPr>
        <w:t xml:space="preserve"> could be regarded as a satire, Carlyle would rank among the first of satirists; but the satire, though very obvious, rather accompanies than inspires the composition. The number of minor satirists of merit, on the other hand, is legion. Poole, in his broadly farcical </w:t>
      </w:r>
      <w:r>
        <w:rPr>
          <w:rFonts w:ascii="Times New Roman" w:eastAsia="Times New Roman" w:hAnsi="Times New Roman" w:cs="Times New Roman"/>
          <w:i/>
          <w:iCs/>
          <w:color w:val="000000"/>
          <w:spacing w:val="0"/>
          <w:w w:val="100"/>
          <w:position w:val="0"/>
          <w:shd w:val="clear" w:color="auto" w:fill="auto"/>
          <w:lang w:val="en-US" w:eastAsia="en-US" w:bidi="en-US"/>
        </w:rPr>
        <w:t>Little Pedlington,</w:t>
      </w:r>
      <w:r>
        <w:rPr>
          <w:rFonts w:ascii="Times New Roman" w:eastAsia="Times New Roman" w:hAnsi="Times New Roman" w:cs="Times New Roman"/>
          <w:color w:val="000000"/>
          <w:spacing w:val="0"/>
          <w:w w:val="100"/>
          <w:position w:val="0"/>
          <w:shd w:val="clear" w:color="auto" w:fill="auto"/>
          <w:lang w:val="en-US" w:eastAsia="en-US" w:bidi="en-US"/>
        </w:rPr>
        <w:t xml:space="preserve"> rang the changes with inexhaustible ingenuity on a single fruitful idea; Jerrold’s comedies sparkle with epigrams, and his tales and sketches overflow with quaint humour; Mallock, in his </w:t>
      </w:r>
      <w:r>
        <w:rPr>
          <w:rFonts w:ascii="Times New Roman" w:eastAsia="Times New Roman" w:hAnsi="Times New Roman" w:cs="Times New Roman"/>
          <w:i/>
          <w:iCs/>
          <w:color w:val="000000"/>
          <w:spacing w:val="0"/>
          <w:w w:val="100"/>
          <w:position w:val="0"/>
          <w:shd w:val="clear" w:color="auto" w:fill="auto"/>
          <w:lang w:val="en-US" w:eastAsia="en-US" w:bidi="en-US"/>
        </w:rPr>
        <w:t>New Republic,</w:t>
      </w:r>
      <w:r>
        <w:rPr>
          <w:rFonts w:ascii="Times New Roman" w:eastAsia="Times New Roman" w:hAnsi="Times New Roman" w:cs="Times New Roman"/>
          <w:color w:val="000000"/>
          <w:spacing w:val="0"/>
          <w:w w:val="100"/>
          <w:position w:val="0"/>
          <w:shd w:val="clear" w:color="auto" w:fill="auto"/>
          <w:lang w:val="en-US" w:eastAsia="en-US" w:bidi="en-US"/>
        </w:rPr>
        <w:t xml:space="preserve"> made the most of personal mimicry, the lowest form of satire; Samuel Butler (</w:t>
      </w:r>
      <w:r>
        <w:rPr>
          <w:rFonts w:ascii="Times New Roman" w:eastAsia="Times New Roman" w:hAnsi="Times New Roman" w:cs="Times New Roman"/>
          <w:i/>
          <w:iCs/>
          <w:color w:val="000000"/>
          <w:spacing w:val="0"/>
          <w:w w:val="100"/>
          <w:position w:val="0"/>
          <w:shd w:val="clear" w:color="auto" w:fill="auto"/>
          <w:lang w:val="en-US" w:eastAsia="en-US" w:bidi="en-US"/>
        </w:rPr>
        <w:t>Erewhon)</w:t>
      </w:r>
      <w:r>
        <w:rPr>
          <w:rFonts w:ascii="Times New Roman" w:eastAsia="Times New Roman" w:hAnsi="Times New Roman" w:cs="Times New Roman"/>
          <w:color w:val="000000"/>
          <w:spacing w:val="0"/>
          <w:w w:val="100"/>
          <w:position w:val="0"/>
          <w:shd w:val="clear" w:color="auto" w:fill="auto"/>
          <w:lang w:val="en-US" w:eastAsia="en-US" w:bidi="en-US"/>
        </w:rPr>
        <w:t xml:space="preserve"> holds an in</w:t>
        <w:softHyphen/>
        <w:t>verting mirror to the world’s face with imperturbable gravity ; the humour of Bernard Shaw has always an essential character of satire— the sharpest social lash. One remarkable feature of the modern age is the union of caricature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with literature.</w:t>
        <w:tab/>
        <w:t>(R. 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SATISFACTION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salisfacere,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satisfy), reparation for an injury or offence; payment, pecuniary or otherwise, of a debt or obligation; particularly, in law, and equitable doctrine of much importance. It may operate either as between strangers or as between father and child. As between strangers: it was laid down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Talbot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Duke of Shrewsbury,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1714, Pr. Ch. 394, that where a debtor bequeaths to his creditor a legacy as great as, or greater than the debt, the legacy shall be deemed a satisfac</w:t>
        <w:softHyphen/>
        <w:t>tion of the debt. This rule, however, has fallen under a consider</w:t>
        <w:softHyphen/>
        <w:t>able amount of discredit, and very small circumstances are required to rebut the presumption of satisfaction. If the debt was incurred after the execution of the will, there is no satisfac</w:t>
        <w:softHyphen/>
        <w:t>tion, nor is there where the will giving the legacy contains a direction to pay debts. As between parent and child, the doctrine operates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in the satisfaction of legacies by portions, and (b) of portions by legacies. In the case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has been laid down that where a parent, or one acting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loco parentis,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gives a legacy to a child, without stating the purpose for which he gives it, it will be understood as a portion; and if the father afterwards advance a portion on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marriage,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preferment</w:t>
      </w:r>
    </w:p>
    <w:sectPr>
      <w:footnotePr>
        <w:pos w:val="pageBottom"/>
        <w:numFmt w:val="decimal"/>
        <w:numRestart w:val="continuous"/>
      </w:footnotePr>
      <w:pgSz w:w="12240" w:h="15840"/>
      <w:pgMar w:top="936" w:left="766" w:right="1047"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