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first vessel chartered by the Continental Congress, seized a British ship and its cargo of 14,000 lb of powder. Yet the Loyalists were strong in Savannah, and many families were divided among themselves.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October 1776-February 1777 the convention which framed the first constitution of Georgia was held in Savannah, and the first state legislature assembled here in May 1778; but the British captured the city on the 29th of December in that year, and the seat of the state government was then transferred to Augusta. In 1779 Savannah was unsuccessfully besieged by a French fleet under Comte d’Estaing and land forces under General Benjamin Lincoln, </w:t>
      </w:r>
      <w:r>
        <w:rPr>
          <w:rFonts w:ascii="Times New Roman" w:eastAsia="Times New Roman" w:hAnsi="Times New Roman" w:cs="Times New Roman"/>
          <w:color w:val="000000"/>
          <w:spacing w:val="0"/>
          <w:w w:val="100"/>
          <w:position w:val="0"/>
          <w:sz w:val="19"/>
          <w:szCs w:val="19"/>
          <w:shd w:val="clear" w:color="auto" w:fill="auto"/>
          <w:lang w:val="fr-FR" w:eastAsia="fr-FR" w:bidi="fr-FR"/>
        </w:rPr>
        <w:t>but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May 1782 it was evacuated after a short siege by General Anthony Wayne. It once more became the capital, but in 1783 the seat of the state government was again transferred to Augusta. Savannah soon became the commercial rival of Charleston, South Carolina. It was chartered as a city in 1789. As early as 1817 the Savannah Steamboat Company, which ran a steamer to Charleston, was organized, and in 1819 the “ Savannah,” the first vessel fitted with steam- engines to cross the Atlantic,@@</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owned by Savannah capitalists but built in the North, sailed from Savannah to Liverpool in 25 days. In 1861 the state convention which adopted the ordin</w:t>
        <w:softHyphen/>
        <w:t>ance of secession met in Savannah. A blockade of the port was instituted by the Federal government in 1861, and on the 12th of December 1862 Fort Pulaski (on Cockspur Island, at the mouth of the Savannah river), which commanded the channel, and had been seized by the state at the outbreak of the war, was forced to surrender. Savannah was the objective of General W. T. Sherman’s “march to the sea,” and on the 21st of December 1864 surrendered to him after futile opposition by General William J. Hardee (1818-1873) with a force very inferior in numbers. The city limits were extended in 1879, 1883 and 1901.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SAVARY, ANNE JEAN MARIE RENÉ,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Duke</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OF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Rovigo </w:t>
      </w:r>
      <w:r>
        <w:rPr>
          <w:rFonts w:ascii="Times New Roman" w:eastAsia="Times New Roman" w:hAnsi="Times New Roman" w:cs="Times New Roman"/>
          <w:color w:val="000000"/>
          <w:spacing w:val="0"/>
          <w:w w:val="100"/>
          <w:position w:val="0"/>
          <w:sz w:val="19"/>
          <w:szCs w:val="19"/>
          <w:shd w:val="clear" w:color="auto" w:fill="auto"/>
          <w:lang w:val="en-US" w:eastAsia="en-US" w:bidi="en-US"/>
        </w:rPr>
        <w:t>(1774-1833), French general and diplomatist, was born at Marcq in the Ardennes on the 26th of April 1774. He was educated at the college of St Louis at Metz and entered the royal army in 1790. His first campaign was that waged by General Custine against the retreating forces of the duke of Brunswick in 1792. He next served in succession under Pichegru and Moreau, and dis</w:t>
        <w:softHyphen/>
        <w:t xml:space="preserve">tinguished himself during the skilful retreat of the latter from an untenable position in the heart of Swabia. He became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chef d'</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escadron</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1797, and in 1798 served under General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Desaix,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Egyptian campaign, of which he left an interesting and valuable account. He also distinguished himself under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Desaix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Marengo (14th of June 1800). His fidelity and address while serving under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Desaix,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 was killed at Marengo, secured him the confidence of Bonaparte, who appointed him to command the special body of gendarmes charged with the duty of guarding the First Consul. In the discovery of the various ramifications of the Cadoudal-Pichegru conspiracy Savary showed great skill and activity. He proceeded to the cliff of Biville in Normandy, where the plotters were in the habit of landing, and sought, by imitating the signals of the royalist plotters, to tempt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comte </w:t>
      </w:r>
      <w:r>
        <w:rPr>
          <w:rFonts w:ascii="Times New Roman" w:eastAsia="Times New Roman" w:hAnsi="Times New Roman" w:cs="Times New Roman"/>
          <w:color w:val="000000"/>
          <w:spacing w:val="0"/>
          <w:w w:val="100"/>
          <w:position w:val="0"/>
          <w:sz w:val="19"/>
          <w:szCs w:val="19"/>
          <w:shd w:val="clear" w:color="auto" w:fill="auto"/>
          <w:lang w:val="en-US" w:eastAsia="en-US" w:bidi="en-US"/>
        </w:rPr>
        <w:t>d'Art</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(afterwards Charles X.) to land. In this he was un- successful. He was in command of the troops at Vincennes when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duc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d’Enghien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summarily executed. Hullin, who presided at the court-martial, afterwards accused Savary, though not byname, of having intervened to prevent the despatch to Bonaparte of an appeal for mercy which he (Hullin) was in the act of drawing up. Savary afterwards denied this, but his denial has not generally been accepted. In February 1805 he was raised to the rank of general of division. Shortly before the battle of Austerlitz (2nd of December 1805) he was sent by Napoleon with a message to the emperor Alexander I. with a request for an armistice, a device which caused that monarch all the more eagerly to strike the blow which brought disaster to the Russians. After the battle Savary again took a message to Alexander, which induced him to treat for an armistice. In the campaign of 1806</w:t>
      </w:r>
    </w:p>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Savary showed signal daring in the pursuit of the Prussians after the battle of Jena. Early in the next year he received command of a corps, and with it gained an important success at Ostrolenka (16th of February 1807).</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After the treaty of Tilsit (7th of July 1807) Savary proceeded to St Petersburg as the French ambassador, but was soon re</w:t>
        <w:softHyphen/>
        <w:t xml:space="preserve">placed by General Caulaincourt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another accessory to the execution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duc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d’Enghien. The repugnance of the empress dowager to Savary is said to have been one of the reasons of his recall, but it is more probable that Napoleon felt the need of his gifts for intrigue in the Spanish affairs which he undertook at the dose of 1807. With the title of duke of Rovigo (a small town in Venetia), Savary set out for Madrid when Napoleon’s plans for gaining the mastery of Spain were nearing completion. With Murat Savary made skilful use of the schisms in the Spanish royal family (March-April 1808), and persuaded Charles IV., who had recently abdicated under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duresse,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his son Ferdinand VII.,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facto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king of Spain, to refer their claims to Napoleon. Savary induced Ferdinand to cross the Pyrenees and proceed to Bayonne—a step which cost him his crown and his liberty until 1814. In September 1808 Savary accompanied the emperor to the famous interview at Erfurt with the emperor Alexander. In 1809 he took part, but without distinction, in the campaign against Austria. On the disgrace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Fouché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the spring of 1810, Savary received his appointment, the ministry of police. There he showed his wonted skill and devotion to Napoleon; and this office, which the Jacobinical Fouche had shorn of its terrors, now became a veritable inquisition. Among the incidents of this time may be cited the cynical brutality with which Savary carried out the order of Napoleon for the exile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Mme de Staël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destruction of her work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 l'Allemagne.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Savary</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wariness was, however, at fault at the time of the strange conspiracy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General Malet,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two of whose confederates seized him in his bed and imprisoned him for a few hours (23rd of October 1812). </w:t>
      </w:r>
      <w:r>
        <w:rPr>
          <w:rFonts w:ascii="Times New Roman" w:eastAsia="Times New Roman" w:hAnsi="Times New Roman" w:cs="Times New Roman"/>
          <w:color w:val="000000"/>
          <w:spacing w:val="0"/>
          <w:w w:val="100"/>
          <w:position w:val="0"/>
          <w:sz w:val="19"/>
          <w:szCs w:val="19"/>
          <w:shd w:val="clear" w:color="auto" w:fill="auto"/>
          <w:lang w:val="fr-FR" w:eastAsia="fr-FR" w:bidi="fr-FR"/>
        </w:rPr>
        <w:t>Sa</w:t>
      </w:r>
      <w:r>
        <w:rPr>
          <w:rFonts w:ascii="Times New Roman" w:eastAsia="Times New Roman" w:hAnsi="Times New Roman" w:cs="Times New Roman"/>
          <w:color w:val="000000"/>
          <w:spacing w:val="0"/>
          <w:w w:val="100"/>
          <w:position w:val="0"/>
          <w:sz w:val="19"/>
          <w:szCs w:val="19"/>
          <w:shd w:val="clear" w:color="auto" w:fill="auto"/>
          <w:lang w:val="en-US" w:eastAsia="en-US" w:bidi="en-US"/>
        </w:rPr>
        <w:t>vary</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9"/>
          <w:szCs w:val="19"/>
          <w:shd w:val="clear" w:color="auto" w:fill="auto"/>
          <w:lang w:val="en-US" w:eastAsia="en-US" w:bidi="en-US"/>
        </w:rPr>
        <w:t>reputation never quite recovered from the ridicule caused by this event. He was among the last to desert the emperor at the time of his abdication (11th of April 1814) and among the first to welcome his return in 1815, when he became inspector-general of gendarmerie and a peer of France. After Waterloo he accompanied the emperor to Rochefort and sailed with him to Plymouth on H.M.S. “ Bellerophon.” He was not allowed to accompany him to St Helena, but underwent several months’ “ internment ” at Malta. Escaping thence, he proceeded to Smyrna, where he settled for a time. Afterwards he travelled about in more or less distress, but finally was allowed to return to France and regained civic rights; later he settled at Rome. The July revolution (1830) brought him into favour and in 1831 he received the command of the French] army in Algeria. Ill- health compelled him to return to France, and he died at Paris in June 1833.</w:t>
      </w:r>
    </w:p>
    <w:p>
      <w:pPr>
        <w:pStyle w:val="Style3"/>
        <w:keepNext w:val="0"/>
        <w:keepLines w:val="0"/>
        <w:widowControl w:val="0"/>
        <w:shd w:val="clear" w:color="auto" w:fill="auto"/>
        <w:tabs>
          <w:tab w:pos="3991"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Mémoires du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Rovigo</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1828; English edition also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vols., London, 1828); a new French edition anno- tated by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Lacroix (5 vols., Paris, 1900); </w:t>
      </w:r>
      <w:r>
        <w:rPr>
          <w:rFonts w:ascii="Times New Roman" w:eastAsia="Times New Roman" w:hAnsi="Times New Roman" w:cs="Times New Roman"/>
          <w:i/>
          <w:iCs/>
          <w:color w:val="000000"/>
          <w:spacing w:val="0"/>
          <w:w w:val="100"/>
          <w:position w:val="0"/>
          <w:shd w:val="clear" w:color="auto" w:fill="auto"/>
          <w:lang w:val="fr-FR" w:eastAsia="fr-FR" w:bidi="fr-FR"/>
        </w:rPr>
        <w:t xml:space="preserve">Extrait des mémoires de M. le due de Rovigo concernant le catastrophe de M. le duc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d’Enghien </w:t>
      </w:r>
      <w:r>
        <w:rPr>
          <w:rFonts w:ascii="Times New Roman" w:eastAsia="Times New Roman" w:hAnsi="Times New Roman" w:cs="Times New Roman"/>
          <w:color w:val="000000"/>
          <w:spacing w:val="0"/>
          <w:w w:val="100"/>
          <w:position w:val="0"/>
          <w:shd w:val="clear" w:color="auto" w:fill="auto"/>
          <w:lang w:val="fr-FR" w:eastAsia="fr-FR" w:bidi="fr-FR"/>
        </w:rPr>
        <w:t xml:space="preserve">(London, </w:t>
      </w:r>
      <w:r>
        <w:rPr>
          <w:rFonts w:ascii="Times New Roman" w:eastAsia="Times New Roman" w:hAnsi="Times New Roman" w:cs="Times New Roman"/>
          <w:color w:val="000000"/>
          <w:spacing w:val="0"/>
          <w:w w:val="100"/>
          <w:position w:val="0"/>
          <w:shd w:val="clear" w:color="auto" w:fill="auto"/>
          <w:lang w:val="en-US" w:eastAsia="en-US" w:bidi="en-US"/>
        </w:rPr>
        <w:t xml:space="preserve">1823); </w:t>
      </w:r>
      <w:r>
        <w:rPr>
          <w:rFonts w:ascii="Times New Roman" w:eastAsia="Times New Roman" w:hAnsi="Times New Roman" w:cs="Times New Roman"/>
          <w:i/>
          <w:iCs/>
          <w:color w:val="000000"/>
          <w:spacing w:val="0"/>
          <w:w w:val="100"/>
          <w:position w:val="0"/>
          <w:shd w:val="clear" w:color="auto" w:fill="auto"/>
          <w:lang w:val="fr-FR" w:eastAsia="fr-FR" w:bidi="fr-FR"/>
        </w:rPr>
        <w:t>Le Duc de Rovigo jugé par lui-même et par ses con</w:t>
        <w:softHyphen/>
        <w:t>temporains,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L. F E. . . (Paris, </w:t>
      </w:r>
      <w:r>
        <w:rPr>
          <w:rFonts w:ascii="Times New Roman" w:eastAsia="Times New Roman" w:hAnsi="Times New Roman" w:cs="Times New Roman"/>
          <w:color w:val="000000"/>
          <w:spacing w:val="0"/>
          <w:w w:val="100"/>
          <w:position w:val="0"/>
          <w:shd w:val="clear" w:color="auto" w:fill="auto"/>
          <w:lang w:val="en-US" w:eastAsia="en-US" w:bidi="en-US"/>
        </w:rPr>
        <w:t xml:space="preserve">1823); </w:t>
      </w:r>
      <w:r>
        <w:rPr>
          <w:rFonts w:ascii="Times New Roman" w:eastAsia="Times New Roman" w:hAnsi="Times New Roman" w:cs="Times New Roman"/>
          <w:color w:val="000000"/>
          <w:spacing w:val="0"/>
          <w:w w:val="100"/>
          <w:position w:val="0"/>
          <w:shd w:val="clear" w:color="auto" w:fill="auto"/>
          <w:lang w:val="fr-FR" w:eastAsia="fr-FR" w:bidi="fr-FR"/>
        </w:rPr>
        <w:t xml:space="preserve">and A. F. N. Macquart, </w:t>
      </w:r>
      <w:r>
        <w:rPr>
          <w:rFonts w:ascii="Times New Roman" w:eastAsia="Times New Roman" w:hAnsi="Times New Roman" w:cs="Times New Roman"/>
          <w:i/>
          <w:iCs/>
          <w:color w:val="000000"/>
          <w:spacing w:val="0"/>
          <w:w w:val="100"/>
          <w:position w:val="0"/>
          <w:shd w:val="clear" w:color="auto" w:fill="auto"/>
          <w:lang w:val="fr-FR" w:eastAsia="fr-FR" w:bidi="fr-FR"/>
        </w:rPr>
        <w:t>Réfutation de l'écrit de M. le duc de Rovigo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(1823).</w:t>
        <w:tab/>
      </w:r>
      <w:r>
        <w:rPr>
          <w:rFonts w:ascii="Times New Roman" w:eastAsia="Times New Roman" w:hAnsi="Times New Roman" w:cs="Times New Roman"/>
          <w:color w:val="000000"/>
          <w:spacing w:val="0"/>
          <w:w w:val="100"/>
          <w:position w:val="0"/>
          <w:shd w:val="clear" w:color="auto" w:fill="auto"/>
          <w:lang w:val="fr-FR" w:eastAsia="fr-FR" w:bidi="fr-FR"/>
        </w:rPr>
        <w:t xml:space="preserve">(J.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SAVE, or </w:t>
      </w:r>
      <w:r>
        <w:rPr>
          <w:rFonts w:ascii="Times New Roman" w:eastAsia="Times New Roman" w:hAnsi="Times New Roman" w:cs="Times New Roman"/>
          <w:smallCaps/>
          <w:color w:val="000000"/>
          <w:spacing w:val="0"/>
          <w:w w:val="100"/>
          <w:position w:val="0"/>
          <w:sz w:val="19"/>
          <w:szCs w:val="19"/>
          <w:shd w:val="clear" w:color="auto" w:fill="auto"/>
          <w:lang w:val="fr-FR" w:eastAsia="fr-FR" w:bidi="fr-FR"/>
        </w:rPr>
        <w:t>Sava</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Sau;</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Hungarian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Sz</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á</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va;</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Savus),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one of the principal right-bank affluents of the Danube. It runs almost parallel with the other great tributary of the Danube, the Drave, both having about the same length. The Save rises in the Triglav group in Carniola from two sources, the Wurzener Save 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Wocheiner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Save, which join at Radmannsdorf. It then takes a south-easterly course, and flows through Carniola and Croatia-Slavonia—forming from Jasenovac the frontier-line between it and Bosnia and Servia—and joins the Danube at Belgrade. The Save has a length of 442 m., the area of its basin being 34,000 sq. m. It is navigable for steamers from Sissek to its mouth, a distance of 360 m., but navigation is greatly hindered by shifting sandbanks and other obstructions. Its principal affluents are, on the right, the Sora, Laibach, Gurk, Kulpa, Una, Vrbas, Bosna and Drina; and on the left,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Kanker, Feistritz, Sann, </w:t>
      </w:r>
      <w:r>
        <w:rPr>
          <w:rFonts w:ascii="Times New Roman" w:eastAsia="Times New Roman" w:hAnsi="Times New Roman" w:cs="Times New Roman"/>
          <w:color w:val="000000"/>
          <w:spacing w:val="0"/>
          <w:w w:val="100"/>
          <w:position w:val="0"/>
          <w:sz w:val="19"/>
          <w:szCs w:val="19"/>
          <w:shd w:val="clear" w:color="auto" w:fill="auto"/>
          <w:lang w:val="en-US" w:eastAsia="en-US" w:bidi="en-US"/>
        </w:rPr>
        <w:t>Sotla, Krapina, Lonja and Orljava.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 Savannah ” did not make the entire voyage under steam; she was fitted with sails and used them in rough weather, unshipping her paddle-boxes.</w:t>
      </w:r>
    </w:p>
    <w:p>
      <w:pPr>
        <w:widowControl w:val="0"/>
        <w:spacing w:line="1" w:lineRule="exact"/>
      </w:pPr>
    </w:p>
    <w:sectPr>
      <w:footnotePr>
        <w:pos w:val="pageBottom"/>
        <w:numFmt w:val="decimal"/>
        <w:numRestart w:val="continuous"/>
      </w:footnotePr>
      <w:type w:val="continuous"/>
      <w:pgSz w:w="12240" w:h="15840"/>
      <w:pgMar w:top="901" w:left="836" w:right="1028" w:bottom="6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