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his numerous publications the following are of special importance:—</w:t>
      </w:r>
      <w:r>
        <w:rPr>
          <w:rFonts w:ascii="Times New Roman" w:eastAsia="Times New Roman" w:hAnsi="Times New Roman" w:cs="Times New Roman"/>
          <w:i/>
          <w:iCs/>
          <w:color w:val="000000"/>
          <w:spacing w:val="0"/>
          <w:w w:val="100"/>
          <w:position w:val="0"/>
          <w:shd w:val="clear" w:color="auto" w:fill="auto"/>
          <w:lang w:val="en-US" w:eastAsia="en-US" w:bidi="en-US"/>
        </w:rPr>
        <w:t>Assyrian Grammar for Comparative Purposes</w:t>
      </w:r>
      <w:r>
        <w:rPr>
          <w:rFonts w:ascii="Times New Roman" w:eastAsia="Times New Roman" w:hAnsi="Times New Roman" w:cs="Times New Roman"/>
          <w:color w:val="000000"/>
          <w:spacing w:val="0"/>
          <w:w w:val="100"/>
          <w:position w:val="0"/>
          <w:shd w:val="clear" w:color="auto" w:fill="auto"/>
          <w:lang w:val="en-US" w:eastAsia="en-US" w:bidi="en-US"/>
        </w:rPr>
        <w:t xml:space="preserve"> (1872); </w:t>
      </w:r>
      <w:r>
        <w:rPr>
          <w:rFonts w:ascii="Times New Roman" w:eastAsia="Times New Roman" w:hAnsi="Times New Roman" w:cs="Times New Roman"/>
          <w:i/>
          <w:iCs/>
          <w:color w:val="000000"/>
          <w:spacing w:val="0"/>
          <w:w w:val="100"/>
          <w:position w:val="0"/>
          <w:shd w:val="clear" w:color="auto" w:fill="auto"/>
          <w:lang w:val="en-US" w:eastAsia="en-US" w:bidi="en-US"/>
        </w:rPr>
        <w:t>Principles of Comparative Philology</w:t>
      </w:r>
      <w:r>
        <w:rPr>
          <w:rFonts w:ascii="Times New Roman" w:eastAsia="Times New Roman" w:hAnsi="Times New Roman" w:cs="Times New Roman"/>
          <w:color w:val="000000"/>
          <w:spacing w:val="0"/>
          <w:w w:val="100"/>
          <w:position w:val="0"/>
          <w:shd w:val="clear" w:color="auto" w:fill="auto"/>
          <w:lang w:val="en-US" w:eastAsia="en-US" w:bidi="en-US"/>
        </w:rPr>
        <w:t xml:space="preserve"> (1874); </w:t>
      </w:r>
      <w:r>
        <w:rPr>
          <w:rFonts w:ascii="Times New Roman" w:eastAsia="Times New Roman" w:hAnsi="Times New Roman" w:cs="Times New Roman"/>
          <w:i/>
          <w:iCs/>
          <w:color w:val="000000"/>
          <w:spacing w:val="0"/>
          <w:w w:val="100"/>
          <w:position w:val="0"/>
          <w:shd w:val="clear" w:color="auto" w:fill="auto"/>
          <w:lang w:val="en-US" w:eastAsia="en-US" w:bidi="en-US"/>
        </w:rPr>
        <w:t xml:space="preserve">Babylonian Literature </w:t>
      </w:r>
      <w:r>
        <w:rPr>
          <w:rFonts w:ascii="Times New Roman" w:eastAsia="Times New Roman" w:hAnsi="Times New Roman" w:cs="Times New Roman"/>
          <w:color w:val="000000"/>
          <w:spacing w:val="0"/>
          <w:w w:val="100"/>
          <w:position w:val="0"/>
          <w:shd w:val="clear" w:color="auto" w:fill="auto"/>
          <w:lang w:val="en-US" w:eastAsia="en-US" w:bidi="en-US"/>
        </w:rPr>
        <w:t xml:space="preserve">(1877); </w:t>
      </w:r>
      <w:r>
        <w:rPr>
          <w:rFonts w:ascii="Times New Roman" w:eastAsia="Times New Roman" w:hAnsi="Times New Roman" w:cs="Times New Roman"/>
          <w:i/>
          <w:iCs/>
          <w:color w:val="000000"/>
          <w:spacing w:val="0"/>
          <w:w w:val="100"/>
          <w:position w:val="0"/>
          <w:shd w:val="clear" w:color="auto" w:fill="auto"/>
          <w:lang w:val="en-US" w:eastAsia="en-US" w:bidi="en-US"/>
        </w:rPr>
        <w:t>Introduction to the Science of Language</w:t>
      </w:r>
      <w:r>
        <w:rPr>
          <w:rFonts w:ascii="Times New Roman" w:eastAsia="Times New Roman" w:hAnsi="Times New Roman" w:cs="Times New Roman"/>
          <w:color w:val="000000"/>
          <w:spacing w:val="0"/>
          <w:w w:val="100"/>
          <w:position w:val="0"/>
          <w:shd w:val="clear" w:color="auto" w:fill="auto"/>
          <w:lang w:val="en-US" w:eastAsia="en-US" w:bidi="en-US"/>
        </w:rPr>
        <w:t xml:space="preserve"> (1879);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Monuments of the </w:t>
      </w:r>
      <w:r>
        <w:rPr>
          <w:rFonts w:ascii="Times New Roman" w:eastAsia="Times New Roman" w:hAnsi="Times New Roman" w:cs="Times New Roman"/>
          <w:i/>
          <w:iCs/>
          <w:color w:val="000000"/>
          <w:spacing w:val="0"/>
          <w:w w:val="100"/>
          <w:position w:val="0"/>
          <w:shd w:val="clear" w:color="auto" w:fill="auto"/>
          <w:lang w:val="fr-FR" w:eastAsia="fr-FR" w:bidi="fr-FR"/>
        </w:rPr>
        <w:t>Hittites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(1881); </w:t>
      </w:r>
      <w:r>
        <w:rPr>
          <w:rFonts w:ascii="Times New Roman" w:eastAsia="Times New Roman" w:hAnsi="Times New Roman" w:cs="Times New Roman"/>
          <w:i/>
          <w:iCs/>
          <w:color w:val="000000"/>
          <w:spacing w:val="0"/>
          <w:w w:val="100"/>
          <w:position w:val="0"/>
          <w:shd w:val="clear" w:color="auto" w:fill="auto"/>
          <w:lang w:val="en-US" w:eastAsia="en-US" w:bidi="en-US"/>
        </w:rPr>
        <w:t>Herodotus i.-iii.</w:t>
      </w:r>
      <w:r>
        <w:rPr>
          <w:rFonts w:ascii="Times New Roman" w:eastAsia="Times New Roman" w:hAnsi="Times New Roman" w:cs="Times New Roman"/>
          <w:color w:val="000000"/>
          <w:spacing w:val="0"/>
          <w:w w:val="100"/>
          <w:position w:val="0"/>
          <w:shd w:val="clear" w:color="auto" w:fill="auto"/>
          <w:lang w:val="en-US" w:eastAsia="en-US" w:bidi="en-US"/>
        </w:rPr>
        <w:t xml:space="preserve"> (1883); </w:t>
      </w:r>
      <w:r>
        <w:rPr>
          <w:rFonts w:ascii="Times New Roman" w:eastAsia="Times New Roman" w:hAnsi="Times New Roman" w:cs="Times New Roman"/>
          <w:i/>
          <w:iCs/>
          <w:color w:val="000000"/>
          <w:spacing w:val="0"/>
          <w:w w:val="100"/>
          <w:position w:val="0"/>
          <w:shd w:val="clear" w:color="auto" w:fill="auto"/>
          <w:lang w:val="en-US" w:eastAsia="en-US" w:bidi="en-US"/>
        </w:rPr>
        <w:t>Ancient Empires of the East</w:t>
      </w:r>
      <w:r>
        <w:rPr>
          <w:rFonts w:ascii="Times New Roman" w:eastAsia="Times New Roman" w:hAnsi="Times New Roman" w:cs="Times New Roman"/>
          <w:color w:val="000000"/>
          <w:spacing w:val="0"/>
          <w:w w:val="100"/>
          <w:position w:val="0"/>
          <w:shd w:val="clear" w:color="auto" w:fill="auto"/>
          <w:lang w:val="en-US" w:eastAsia="en-US" w:bidi="en-US"/>
        </w:rPr>
        <w:t xml:space="preserve"> (1884); </w:t>
      </w:r>
      <w:r>
        <w:rPr>
          <w:rFonts w:ascii="Times New Roman" w:eastAsia="Times New Roman" w:hAnsi="Times New Roman" w:cs="Times New Roman"/>
          <w:i/>
          <w:iCs/>
          <w:color w:val="000000"/>
          <w:spacing w:val="0"/>
          <w:w w:val="100"/>
          <w:position w:val="0"/>
          <w:shd w:val="clear" w:color="auto" w:fill="auto"/>
          <w:lang w:val="en-US" w:eastAsia="en-US" w:bidi="en-US"/>
        </w:rPr>
        <w:t>Introduction to Ezra, Nehemiah and Esther</w:t>
      </w:r>
      <w:r>
        <w:rPr>
          <w:rFonts w:ascii="Times New Roman" w:eastAsia="Times New Roman" w:hAnsi="Times New Roman" w:cs="Times New Roman"/>
          <w:color w:val="000000"/>
          <w:spacing w:val="0"/>
          <w:w w:val="100"/>
          <w:position w:val="0"/>
          <w:shd w:val="clear" w:color="auto" w:fill="auto"/>
          <w:lang w:val="en-US" w:eastAsia="en-US" w:bidi="en-US"/>
        </w:rPr>
        <w:t xml:space="preserve"> (1885) ; </w:t>
      </w:r>
      <w:r>
        <w:rPr>
          <w:rFonts w:ascii="Times New Roman" w:eastAsia="Times New Roman" w:hAnsi="Times New Roman" w:cs="Times New Roman"/>
          <w:i/>
          <w:iCs/>
          <w:color w:val="000000"/>
          <w:spacing w:val="0"/>
          <w:w w:val="100"/>
          <w:position w:val="0"/>
          <w:shd w:val="clear" w:color="auto" w:fill="auto"/>
          <w:lang w:val="en-US" w:eastAsia="en-US" w:bidi="en-US"/>
        </w:rPr>
        <w:t>Assyria</w:t>
      </w:r>
      <w:r>
        <w:rPr>
          <w:rFonts w:ascii="Times New Roman" w:eastAsia="Times New Roman" w:hAnsi="Times New Roman" w:cs="Times New Roman"/>
          <w:color w:val="000000"/>
          <w:spacing w:val="0"/>
          <w:w w:val="100"/>
          <w:position w:val="0"/>
          <w:shd w:val="clear" w:color="auto" w:fill="auto"/>
          <w:lang w:val="en-US" w:eastAsia="en-US" w:bidi="en-US"/>
        </w:rPr>
        <w:t xml:space="preserve"> (1885); </w:t>
      </w:r>
      <w:r>
        <w:rPr>
          <w:rFonts w:ascii="Times New Roman" w:eastAsia="Times New Roman" w:hAnsi="Times New Roman" w:cs="Times New Roman"/>
          <w:i/>
          <w:iCs/>
          <w:color w:val="000000"/>
          <w:spacing w:val="0"/>
          <w:w w:val="100"/>
          <w:position w:val="0"/>
          <w:shd w:val="clear" w:color="auto" w:fill="auto"/>
          <w:lang w:val="en-US" w:eastAsia="en-US" w:bidi="en-US"/>
        </w:rPr>
        <w:t>Hibbert Lectures on Babylonian Religion</w:t>
      </w:r>
      <w:r>
        <w:rPr>
          <w:rFonts w:ascii="Times New Roman" w:eastAsia="Times New Roman" w:hAnsi="Times New Roman" w:cs="Times New Roman"/>
          <w:color w:val="000000"/>
          <w:spacing w:val="0"/>
          <w:w w:val="100"/>
          <w:position w:val="0"/>
          <w:shd w:val="clear" w:color="auto" w:fill="auto"/>
          <w:lang w:val="en-US" w:eastAsia="en-US" w:bidi="en-US"/>
        </w:rPr>
        <w:t xml:space="preserve"> (1887);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fr-FR" w:eastAsia="fr-FR" w:bidi="fr-FR"/>
        </w:rPr>
        <w:t>Hittites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(1889) ; </w:t>
      </w:r>
      <w:r>
        <w:rPr>
          <w:rFonts w:ascii="Times New Roman" w:eastAsia="Times New Roman" w:hAnsi="Times New Roman" w:cs="Times New Roman"/>
          <w:i/>
          <w:iCs/>
          <w:color w:val="000000"/>
          <w:spacing w:val="0"/>
          <w:w w:val="100"/>
          <w:position w:val="0"/>
          <w:shd w:val="clear" w:color="auto" w:fill="auto"/>
          <w:lang w:val="en-US" w:eastAsia="en-US" w:bidi="en-US"/>
        </w:rPr>
        <w:t>Races of the Old Testament</w:t>
      </w:r>
      <w:r>
        <w:rPr>
          <w:rFonts w:ascii="Times New Roman" w:eastAsia="Times New Roman" w:hAnsi="Times New Roman" w:cs="Times New Roman"/>
          <w:color w:val="000000"/>
          <w:spacing w:val="0"/>
          <w:w w:val="100"/>
          <w:position w:val="0"/>
          <w:shd w:val="clear" w:color="auto" w:fill="auto"/>
          <w:lang w:val="en-US" w:eastAsia="en-US" w:bidi="en-US"/>
        </w:rPr>
        <w:t xml:space="preserve"> (1891); </w:t>
      </w:r>
      <w:r>
        <w:rPr>
          <w:rFonts w:ascii="Times New Roman" w:eastAsia="Times New Roman" w:hAnsi="Times New Roman" w:cs="Times New Roman"/>
          <w:i/>
          <w:iCs/>
          <w:color w:val="000000"/>
          <w:spacing w:val="0"/>
          <w:w w:val="100"/>
          <w:position w:val="0"/>
          <w:shd w:val="clear" w:color="auto" w:fill="auto"/>
          <w:lang w:val="en-US" w:eastAsia="en-US" w:bidi="en-US"/>
        </w:rPr>
        <w:t>Higher Criticism and the Verdict of the Monuments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(1894); </w:t>
      </w:r>
      <w:r>
        <w:rPr>
          <w:rFonts w:ascii="Times New Roman" w:eastAsia="Times New Roman" w:hAnsi="Times New Roman" w:cs="Times New Roman"/>
          <w:i/>
          <w:iCs/>
          <w:color w:val="000000"/>
          <w:spacing w:val="0"/>
          <w:w w:val="100"/>
          <w:position w:val="0"/>
          <w:shd w:val="clear" w:color="auto" w:fill="auto"/>
          <w:lang w:val="en-US" w:eastAsia="en-US" w:bidi="en-US"/>
        </w:rPr>
        <w:t>Patriarchal Palestine</w:t>
      </w:r>
      <w:r>
        <w:rPr>
          <w:rFonts w:ascii="Times New Roman" w:eastAsia="Times New Roman" w:hAnsi="Times New Roman" w:cs="Times New Roman"/>
          <w:color w:val="000000"/>
          <w:spacing w:val="0"/>
          <w:w w:val="100"/>
          <w:position w:val="0"/>
          <w:shd w:val="clear" w:color="auto" w:fill="auto"/>
          <w:lang w:val="en-US" w:eastAsia="en-US" w:bidi="en-US"/>
        </w:rPr>
        <w:t xml:space="preserve"> (1895); </w:t>
      </w:r>
      <w:r>
        <w:rPr>
          <w:rFonts w:ascii="Times New Roman" w:eastAsia="Times New Roman" w:hAnsi="Times New Roman" w:cs="Times New Roman"/>
          <w:i/>
          <w:iCs/>
          <w:color w:val="000000"/>
          <w:spacing w:val="0"/>
          <w:w w:val="100"/>
          <w:position w:val="0"/>
          <w:shd w:val="clear" w:color="auto" w:fill="auto"/>
          <w:lang w:val="en-US" w:eastAsia="en-US" w:bidi="en-US"/>
        </w:rPr>
        <w:t>The Egypt of the Hebrews and Herodotus</w:t>
      </w:r>
      <w:r>
        <w:rPr>
          <w:rFonts w:ascii="Times New Roman" w:eastAsia="Times New Roman" w:hAnsi="Times New Roman" w:cs="Times New Roman"/>
          <w:color w:val="000000"/>
          <w:spacing w:val="0"/>
          <w:w w:val="100"/>
          <w:position w:val="0"/>
          <w:shd w:val="clear" w:color="auto" w:fill="auto"/>
          <w:lang w:val="en-US" w:eastAsia="en-US" w:bidi="en-US"/>
        </w:rPr>
        <w:t xml:space="preserve"> (1895); </w:t>
      </w:r>
      <w:r>
        <w:rPr>
          <w:rFonts w:ascii="Times New Roman" w:eastAsia="Times New Roman" w:hAnsi="Times New Roman" w:cs="Times New Roman"/>
          <w:i/>
          <w:iCs/>
          <w:color w:val="000000"/>
          <w:spacing w:val="0"/>
          <w:w w:val="100"/>
          <w:position w:val="0"/>
          <w:shd w:val="clear" w:color="auto" w:fill="auto"/>
          <w:lang w:val="en-US" w:eastAsia="en-US" w:bidi="en-US"/>
        </w:rPr>
        <w:t>Early History of the Hebrews</w:t>
      </w:r>
      <w:r>
        <w:rPr>
          <w:rFonts w:ascii="Times New Roman" w:eastAsia="Times New Roman" w:hAnsi="Times New Roman" w:cs="Times New Roman"/>
          <w:color w:val="000000"/>
          <w:spacing w:val="0"/>
          <w:w w:val="100"/>
          <w:position w:val="0"/>
          <w:shd w:val="clear" w:color="auto" w:fill="auto"/>
          <w:lang w:val="en-US" w:eastAsia="en-US" w:bidi="en-US"/>
        </w:rPr>
        <w:t xml:space="preserve"> (1897); </w:t>
      </w:r>
      <w:r>
        <w:rPr>
          <w:rFonts w:ascii="Times New Roman" w:eastAsia="Times New Roman" w:hAnsi="Times New Roman" w:cs="Times New Roman"/>
          <w:i/>
          <w:iCs/>
          <w:color w:val="000000"/>
          <w:spacing w:val="0"/>
          <w:w w:val="100"/>
          <w:position w:val="0"/>
          <w:shd w:val="clear" w:color="auto" w:fill="auto"/>
          <w:lang w:val="en-US" w:eastAsia="en-US" w:bidi="en-US"/>
        </w:rPr>
        <w:t>Israel and the Surrounding Nations</w:t>
      </w:r>
      <w:r>
        <w:rPr>
          <w:rFonts w:ascii="Times New Roman" w:eastAsia="Times New Roman" w:hAnsi="Times New Roman" w:cs="Times New Roman"/>
          <w:color w:val="000000"/>
          <w:spacing w:val="0"/>
          <w:w w:val="100"/>
          <w:position w:val="0"/>
          <w:shd w:val="clear" w:color="auto" w:fill="auto"/>
          <w:lang w:val="en-US" w:eastAsia="en-US" w:bidi="en-US"/>
        </w:rPr>
        <w:t xml:space="preserve"> (1898); </w:t>
      </w:r>
      <w:r>
        <w:rPr>
          <w:rFonts w:ascii="Times New Roman" w:eastAsia="Times New Roman" w:hAnsi="Times New Roman" w:cs="Times New Roman"/>
          <w:i/>
          <w:iCs/>
          <w:color w:val="000000"/>
          <w:spacing w:val="0"/>
          <w:w w:val="100"/>
          <w:position w:val="0"/>
          <w:shd w:val="clear" w:color="auto" w:fill="auto"/>
          <w:lang w:val="en-US" w:eastAsia="en-US" w:bidi="en-US"/>
        </w:rPr>
        <w:t>Babylonians and Assyrians</w:t>
      </w:r>
      <w:r>
        <w:rPr>
          <w:rFonts w:ascii="Times New Roman" w:eastAsia="Times New Roman" w:hAnsi="Times New Roman" w:cs="Times New Roman"/>
          <w:color w:val="000000"/>
          <w:spacing w:val="0"/>
          <w:w w:val="100"/>
          <w:position w:val="0"/>
          <w:shd w:val="clear" w:color="auto" w:fill="auto"/>
          <w:lang w:val="en-US" w:eastAsia="en-US" w:bidi="en-US"/>
        </w:rPr>
        <w:t xml:space="preserve"> (1900);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Egyptian and Babylonian Religion (1903); Archaeology of the Cuneiform Inscr. </w:t>
      </w:r>
      <w:r>
        <w:rPr>
          <w:rFonts w:ascii="Times New Roman" w:eastAsia="Times New Roman" w:hAnsi="Times New Roman" w:cs="Times New Roman"/>
          <w:color w:val="000000"/>
          <w:spacing w:val="0"/>
          <w:w w:val="100"/>
          <w:position w:val="0"/>
          <w:shd w:val="clear" w:color="auto" w:fill="auto"/>
          <w:lang w:val="en-US" w:eastAsia="en-US" w:bidi="en-US"/>
        </w:rPr>
        <w:t xml:space="preserve">(1907). He also contributed important articles to the 9th, 10th and 11th editions of the </w:t>
      </w:r>
      <w:r>
        <w:rPr>
          <w:rFonts w:ascii="Times New Roman" w:eastAsia="Times New Roman" w:hAnsi="Times New Roman" w:cs="Times New Roman"/>
          <w:i/>
          <w:iCs/>
          <w:color w:val="000000"/>
          <w:spacing w:val="0"/>
          <w:w w:val="100"/>
          <w:position w:val="0"/>
          <w:shd w:val="clear" w:color="auto" w:fill="auto"/>
          <w:lang w:val="en-US" w:eastAsia="en-US" w:bidi="en-US"/>
        </w:rPr>
        <w:t>Encyclopaedia Britannica</w:t>
      </w:r>
      <w:r>
        <w:rPr>
          <w:rFonts w:ascii="Times New Roman" w:eastAsia="Times New Roman" w:hAnsi="Times New Roman" w:cs="Times New Roman"/>
          <w:color w:val="000000"/>
          <w:spacing w:val="0"/>
          <w:w w:val="100"/>
          <w:position w:val="0"/>
          <w:shd w:val="clear" w:color="auto" w:fill="auto"/>
          <w:lang w:val="en-US" w:eastAsia="en-US" w:bidi="en-US"/>
        </w:rPr>
        <w:t xml:space="preserve"> and edited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number of Oriental works.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SAYE AND SELE, WILLIAM FIENNES, 1</w:t>
      </w:r>
      <w:r>
        <w:rPr>
          <w:rFonts w:ascii="Times New Roman" w:eastAsia="Times New Roman" w:hAnsi="Times New Roman" w:cs="Times New Roman"/>
          <w:smallCaps/>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Viscount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(1582- 1662), was the only son of Richard Fiennes, 7th Baron Saye and Sele, and was descended from James Fiennes, Lord Saye and Sele, who was lord chamberlain and lord treasurer under Henry VI. and was beheaded by the rebels under Jack Cade on the 4th of July 1450. Born on the 28th of May 1582 Fiennes, like many of his family, was educated at New College, Oxford; he succeeded to his father’s barony in 1613, and in parliament opposed the policy of James I., undergoing a brief imprisonment for objecting to a benevolence in 1662; and he showed great animus towards Lord Bacon. In 1624, owing probably to his temporary friendship with the duke of Buckingham, he was advanced to the rank of a viscount, but notwithstanding this he remained during the early parliaments of Charles I. champion of the popular cause, and was in Clarendon’s words “ the oracle of those who were called Puritans in the worst sense, and steered all their counsels and designs.” Afterwards his energies found a new outlet in helping to colonize Providence Island, and in interesting himself in other and similar enterprises in America. Although Saye resisted the levy of ship-money, he accompanied Charles on his march against the Scots in 1639; but, with only one other peer, he refused to take the oath binding him to fight for the king to “ the utmost of my power and hazard of my life.” Then Charles I. sought to win his favour by making him a privy councillor and master of the court of wards. When the Civil War broke out, however, Saye was on the committee of safety, was made lord- lieutenant of Gloucestershire, Oxfordshire and Cheshire, and raising a regiment occupied Oxford. He was a member of the committee of both kingdoms; was mainly responsible for passing the self-denying ordinance through the House of Lords; and in 1647 stood up for the army in its struggle with the parliament. In 1648, both at the treaty of Newport and elsewhere, Saye was anxious that Charles should come to terms, and he retired into private life after the execution of the king, becoming a privy councillor again upon the restoration of Charles II. He died at his residence, Broughton Castle near Banbury, on the τ4th of April 1662. On several occasions Saye outwitted the advisers of Charles I. by his strict compliance with legal forms. He was a thorough aristocrat, and his ideas for the government of colonies in America included the establishment of an hereditary aristo- cracy. His eldest son James (c. 1603-1674) succeeded him as 2nd viscount; other sons were the parliamentarians Nathaniel Fiennes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John Fiennes. The viscounty of Saye and Sele became extinct in 1781, and the barony is now held by the descendants of John Twisleton (d. 1682) and his wife Elizabeth (d. 1674), a daughter of the 2nd viscount. Saybrook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Connecticut is named after Viscount Saye and Lord Brooke.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SAYER (or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Sayers),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JAMES (1748-1823), English caricaturist, was a native of Yarmouth, and son of a merchant captain. He began as clerk in an attorney’s office, and was for a time a member of the borough council. In 1780 the death of his father put him in possession of a small fortune, and he came to London. As a political caricaturist he was a supporter of William Pitt. His plate of “ Carlo Khan’s triumphal entry into Leadenhall Street ’’ was allowed by C. J. Fox, against whom it was directed, to have damaged him severely in public opinion. Indeed Sayer was always at his best when attacking Fox, whose strongly marked features he rendered with remarkable power, and always so as to make them convey expressions of defiant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impudence or of anger. Pitt, who showed no wish to help literature or art in any other case, provided Sayer with a place as marshal of the Exchequer court. He died in Curzon Street, Mayfair, on the 2oth of April 1823.</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Sayer's “ Carlo Khan ” has been frequently reproduced. But he can only be judged with confidence after examining the collection in the British Museum, or other public libraries. His drawings, made originally with pencil on oil paper, were etched for him by the Brethertons. They were then sold in </w:t>
      </w:r>
      <w:r>
        <w:rPr>
          <w:rFonts w:ascii="Times New Roman" w:eastAsia="Times New Roman" w:hAnsi="Times New Roman" w:cs="Times New Roman"/>
          <w:color w:val="000000"/>
          <w:spacing w:val="0"/>
          <w:w w:val="100"/>
          <w:position w:val="0"/>
          <w:shd w:val="clear" w:color="auto" w:fill="auto"/>
          <w:lang w:val="fr-FR" w:eastAsia="fr-FR" w:bidi="fr-FR"/>
        </w:rPr>
        <w:t xml:space="preserve">collections </w:t>
      </w:r>
      <w:r>
        <w:rPr>
          <w:rFonts w:ascii="Times New Roman" w:eastAsia="Times New Roman" w:hAnsi="Times New Roman" w:cs="Times New Roman"/>
          <w:color w:val="000000"/>
          <w:spacing w:val="0"/>
          <w:w w:val="100"/>
          <w:position w:val="0"/>
          <w:shd w:val="clear" w:color="auto" w:fill="auto"/>
          <w:lang w:val="en-US" w:eastAsia="en-US" w:bidi="en-US"/>
        </w:rPr>
        <w:t xml:space="preserve">of the size of a large octavo copybook, under such titles as </w:t>
      </w:r>
      <w:r>
        <w:rPr>
          <w:rFonts w:ascii="Times New Roman" w:eastAsia="Times New Roman" w:hAnsi="Times New Roman" w:cs="Times New Roman"/>
          <w:i/>
          <w:iCs/>
          <w:color w:val="000000"/>
          <w:spacing w:val="0"/>
          <w:w w:val="100"/>
          <w:position w:val="0"/>
          <w:shd w:val="clear" w:color="auto" w:fill="auto"/>
          <w:lang w:val="en-US" w:eastAsia="en-US" w:bidi="en-US"/>
        </w:rPr>
        <w:t>Illustrious Heads</w:t>
      </w:r>
      <w:r>
        <w:rPr>
          <w:rFonts w:ascii="Times New Roman" w:eastAsia="Times New Roman" w:hAnsi="Times New Roman" w:cs="Times New Roman"/>
          <w:color w:val="000000"/>
          <w:spacing w:val="0"/>
          <w:w w:val="100"/>
          <w:position w:val="0"/>
          <w:shd w:val="clear" w:color="auto" w:fill="auto"/>
          <w:lang w:val="en-US" w:eastAsia="en-US" w:bidi="en-US"/>
        </w:rPr>
        <w:t xml:space="preserve"> (1794) or </w:t>
      </w:r>
      <w:r>
        <w:rPr>
          <w:rFonts w:ascii="Times New Roman" w:eastAsia="Times New Roman" w:hAnsi="Times New Roman" w:cs="Times New Roman"/>
          <w:i/>
          <w:iCs/>
          <w:color w:val="000000"/>
          <w:spacing w:val="0"/>
          <w:w w:val="100"/>
          <w:position w:val="0"/>
          <w:shd w:val="clear" w:color="auto" w:fill="auto"/>
          <w:lang w:val="en-US" w:eastAsia="en-US" w:bidi="en-US"/>
        </w:rPr>
        <w:t>Outlines of the Opposition</w:t>
      </w:r>
      <w:r>
        <w:rPr>
          <w:rFonts w:ascii="Times New Roman" w:eastAsia="Times New Roman" w:hAnsi="Times New Roman" w:cs="Times New Roman"/>
          <w:color w:val="000000"/>
          <w:spacing w:val="0"/>
          <w:w w:val="100"/>
          <w:position w:val="0"/>
          <w:shd w:val="clear" w:color="auto" w:fill="auto"/>
          <w:lang w:val="en-US" w:eastAsia="en-US" w:bidi="en-US"/>
        </w:rPr>
        <w:t xml:space="preserve"> (1795). Sayer left a complete gallery of small full-length pictures of the public men of his time, slightly caricatured. In his great plates he is inferior to Gillray, and he never has the grace of Rowlandson, but he is less exaggerated than either, and nearer the truth.</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SAYERS, TOM (1826-1865), English pugilist, was born at Brighton on the 25th of May 1826. By trade a bricklayer, he began his career as a prize fighter in 1849 and won battle after battle, his single defeat being at the hands of Nat Langham in October 1853. In 1857 he gained the championship. His fight with the American, John C. Heenan, the Benicia Boy, a much heavier man than himself, is perhaps the most famous in the history of the English prize ring. It took place at Farnborough on the 17th of April 1860 and lasted two hours and six minutes, thirty-seven rounds being fought. After Sayers’s right arm had been injured the crowd pressed into the ring and the fight was declared a draw. £3000 was raised by public subscription for Sayers, who withdrew from the ring and died on the 8th of November 1865. The champion was 5 ft. 8½ in. in height and his fighting weight was under 11 stone. An account of the fight between Sayers and Heenan is given by Frederick Locker- Lampson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My Confidences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(1896).</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SAYRE, a borough of Bradford county, Pennsylvania, U. S. A., on the North Branch of the Susquehanna river, about 95 m. (by rail) N.N.W. of Wilkes-Barré, and just S. of the New York state boundary. Pop. (1900) 5243 (337 foreign-born); (1910) 6426. Sayre is served by the main line and by a branch of the Lehigh Valley railway, and is connected by electric railway with Waverly, New York, and with the adjacent borough of Athens, Pennsylvania (pop. in 1910, 3796), which manufactures furniture, carriages and wagons. Sayre, Athens, South Waverly and Waverly form virtually one industrial community. The borough of Sayre is the seat of the Robert Packer Hospital (1885) and has two parks. It is the trade centre of an agricultural and dairying region, and has metal works and other factories; but its industrial importance is due primarily to the locomotive and car shops of the Lehigh Valley railway. It was named in honour of Robert Heysham Sayre (1824-1907), long chief- engineer of this railway. Sayre was settled in 1880 and was incorporated as a borough in 1891.</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SAYYID AHMAD KHAN, SIR (τ8τ7-τ898), Mahommedan educationist and reformer, was born at Delhi, India, in 1817. He belonged to a family which had come to India with the Mahommedan conquest, and had held important offices under the Mogul emperors. Although his imperfect acquaintance with English prevented his attainment of higher office than that of a judge of a small cause court, he earned the title of the recognized leader of the Mahommedan community. To the British he rendered loyal service, and when the mutiny reached Bijnor in Rohilkand in May 1857 the British residents owed their lives to his courage and tact. His faithfulness to his religion was pronounced, and in τ876 he defended the cause of Islam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 Series of Essays on Mahommed,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written in London. He used these advantages to act as interpreter between the Mahom</w:t>
        <w:softHyphen/>
        <w:t>medans and their rulers, and to rouse his co-religionists to a sense of the benefits of modern education. The task was no light one; for during the first half of the 19th century the Mahommedans had kept themselves aloof from English educa- tion, and therefore from taking their proper part in the British administration, being content to study Persian and Arabic in their own mosques. Sayyid Ahmad set himself to alter their resolution. He established a translation society, which became the Scientific Society of Aligarh. He wrote letters from England to draw the hearts of the East to the West. In 1873 he founded</w:t>
      </w:r>
    </w:p>
    <w:sectPr>
      <w:footnotePr>
        <w:pos w:val="pageBottom"/>
        <w:numFmt w:val="decimal"/>
        <w:numRestart w:val="continuous"/>
      </w:footnotePr>
      <w:pgSz w:w="12240" w:h="15840"/>
      <w:pgMar w:top="885" w:left="866" w:right="936"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