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einer Form der Philosophie überhaupt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(1 794). There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nothing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original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treatment, but it showed such power of appreciating the new ideas of the Fichtean method that it was hailed with cordial recognition by Fichte himself, and gave the author immediately a place in popular estimation as in the foremost rank of existing philosophical writers. The more elaborate work,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Vom Ich 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Princip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Philosophie, oder über das Unbedingte im menschlichen Wissen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(1795),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remaining within the limits of the Fichtean idealism, however, exhibits unmistakable traces of a tendency to give the Fichtean method a more objective application, and to amalgamate with it Spinoza’s more realistic view of things.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two years as tutor to two youths of noble family, Schelling was called as extraordinary professor of philosophy to Jena in midsummer 1798. He had already contributed articles and reviews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Fichte and Niethammer, and had thrown himself with all his native impetuosity into the study of physical and medical science. From 1796 date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Briefe über Dogmatismus und Kriticismus,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admirably written critique of the ultimate issues of the Kantian system; from 1797 the essay entitled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Neue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Deduction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des Naturrechts,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to some extent anticipated Fichte’s treatment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Grundlage des Naturrechts,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published in 1796, but not before Schelling’s essay had been received by the editors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studies of physical science bore rapid fruit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Ideen zu einer Philosophie der Natur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(1797), and the treatise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Von der Weltseele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(1798).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philosophical renown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Jena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reached its culminating point during the years (1798-1803) of Schelling’s residence there. His intellectual sympathies united him closely with some of the most active literary tendencies of the time. With Goethe, who viewed with interest and appreciation the poetical fashion of treating fact characteristic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Naturphilosophie,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continued on excellent terms, while on the other hand he was repelled by Schiller’s less expansive disposition, and failed alto- gether to understand the lofty ethical idealism that animated his work. He quickly became the acknowledged leader of the Romantic school whose impetuous litterateurs had begun to tire of the cold abstractions of Fichte. In Schelling, essentially a self-conscious genius, eager and rash, yet with undeniable power, they hailed a personality of the true Romantic type. With August Wilhelm Schlegel and his gifted wife Caroline, herself the embodiment of the Romantic spirit, Schelling’s relations were of the most intimate kind, and a marriage between Schelling and Caroline’s young daughter, Auguste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Böhmer,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vaguely contemplated by both. Auguste’s death in 1800 (due partly to Schelling’s rash confidence in his medical knowledge) drew Schelling and Caroline together, and Schlegel having removed to Berlin, a divorce was, apparently with his consent, arranged. On the 2nd of June 1803 Schelling and Caroline were married, and with the marriage Schelling’s life at Jena came to an end. It was full time, for Schelling’s undoubtedly overweening self-confidence had involved him in a series of disputes and quarrels at Jena, the details of which are important only as illustrations of the evil qualities in Schelling’s nature which deface much of his philosophic work.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September 1803 until April 1806 Schelling was professor at the new university of Würzburg. This period was marked by considerable changes in his views and by the final breach on the one hand with Fichte and on the other hand with Hegel. In Würzburg Schelling had had many enemies. He embroiled himself with his colleagues and also with the government. In Munich, to which he removed in 1806, he found a quiet residence. A position as state official, at first as associate of the academy of sciences and secretary of the academy of arts, afterwards as secretary of the philosophical section of the academy of sciences, gave him ease and leisure. Without resigning his official position he lectured for a short time at Stuttgart, 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during seven years at Erlangen (1820-1827). In 1809 Caroline died, and three years later Schelling married one of her closest friends, Pauline Gotter, in whom he found a faithful companion.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During the long stay at Munich (1806-1841) Schelling’s literary activity seemed gradually to come to a standstill. The “ Aphorisms 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Naturphilosophie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contained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Jahrbücher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Medicin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als Wissenschaft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(1806-1808) are for the most part extracts from the Würzburg lectures; and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Denkmal der Schrift von den göttlichen Dingen des Herrn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Jacobi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drawn forth by the special incident of Jacobi’s work. The only writing of significance is the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Philosophische Untersuchungen über das Wesen der menschlichen Freiheit,”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appeared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Philosophische Schriften,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vol. 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(1809), and which carries out, with increasing tendency to mysticism, the thoughts of the previous work,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Philosophie 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1815 appeared the tract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Gottheiten zu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Samothrake,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ostensibly a portion of a great 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Weltalter,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frequently announced as ready for publication, of which no great part was ever written. Probably it was the overpowering strength and influence of the Hegelian system that constrained Schelling to so long a silence, for it was only in 1834, after the death of Hegel, that, in a preface to a translation by H. Beckers of a work by Cousin, he gave public utterance to the antagonism in which he stood to the Hegelian and to his own earlier conceptions of philosophy. The antagonism certainly was not then a new fact; the Erlangen lectures on the history of philosophy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(Sämmt.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Werke,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x. 124-125) of 1822 express the same in a pointed fashion, and Schelling had already begun the treatment of mythology and religion which in his view constituted the true positive complement to the negative of logical or speculative philosophy. Public attention was power</w:t>
        <w:softHyphen/>
        <w:t xml:space="preserve">fully attracted by these vague hints of a new system which promised something more positive, as regards religion in parti- cular, than the apparent results of Hegel’s teaching. For the appearance of the critical writings of Strauss, Feuerbach and Bauer, and the evident disunion in the Hegelian school itself had alienated the sympathies of many from the then dominant philosophy. In Berlin particularly, the headquarters of the Hegelians, the desire found expression to obtain officially from Schelling a treatment of the new system which he was understood to have in reserve. The realization of the desire did not come about till 1841, when the appointment of Schelling as Prussian privy councillor and member of the Berlin Academy, gave him the right, a right he was requested to exercise, to deliver lectures in the university. The opening lecture of his course was listened to by a large and appreciative audience. The enmity of his old foe, H. E. G. Paulus, sharpened by Schelling’s apparent success, led to the surreptitious publication of a verbatim report of the lectures on the philosophy of revelation, and, as Schelling did not succeed in obtaining legal condemnation and suppression of this piracy, he in 1845 ceased the delivery of any public courses. No authentic information as to the nature of the new positive philosophy was obtained till after his death (at Bad Rogaz, on the 20th of August 1854), when his sons began the issue of his collected writings with the four volumes of Berlin lectures: vol. 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Introduction to the Philosophy of Mythology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(1856); ii.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Philosophy of Mythology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(1857); iii. and iv.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Philosophy of Revelation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(1858).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Philosophy.—</w:t>
      </w:r>
      <w:r>
        <w:rPr>
          <w:rFonts w:ascii="Times New Roman" w:eastAsia="Times New Roman" w:hAnsi="Times New Roman" w:cs="Times New Roman"/>
          <w:color w:val="000000"/>
          <w:spacing w:val="0"/>
          <w:w w:val="100"/>
          <w:position w:val="0"/>
          <w:shd w:val="clear" w:color="auto" w:fill="auto"/>
          <w:lang w:val="en-US" w:eastAsia="en-US" w:bidi="en-US"/>
        </w:rPr>
        <w:t>Whatever judgment one may form of the total worth of Schelling as a philosopher, his place in the history of that important movement called generally German philosophy is unmistakable and assured. It happened to him, as he himself claimed, to turn a page in the history of thought, and one cannot ignore the actual advance upon his predecessor achieved by him or the brilliant fertility of the genius by which that achievement was accomplished. On the other hand he nowhere succeeds in attaining to a complete scientific system. His philosophical writings are the successive manifestations of a restless highly endowed spirit, striving unsuccessfully after a solution of its own problems. Such unity as they possess is a unity of tendency and endeavour; in some respects the final form they assumed is the least satisfactory. Hence it has come about that Schelling remains for the philosophic student but a moment of historical value in the development of thought, and that his works have for the most part ceased now to have more than historic interest.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unfair to connect the apparent failings of Schelling’s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reviews of current philosophical literature were afterwards collected, and edited under the title “ </w:t>
      </w:r>
      <w:r>
        <w:rPr>
          <w:rFonts w:ascii="Times New Roman" w:eastAsia="Times New Roman" w:hAnsi="Times New Roman" w:cs="Times New Roman"/>
          <w:color w:val="000000"/>
          <w:spacing w:val="0"/>
          <w:w w:val="100"/>
          <w:position w:val="0"/>
          <w:shd w:val="clear" w:color="auto" w:fill="auto"/>
          <w:lang w:val="de-DE" w:eastAsia="de-DE" w:bidi="de-DE"/>
        </w:rPr>
        <w:t xml:space="preserve">Abhandlungen zur Erläuterung des Idealismus der Wissenschaftslehre" in Schelling’s </w:t>
      </w:r>
      <w:r>
        <w:rPr>
          <w:rFonts w:ascii="Times New Roman" w:eastAsia="Times New Roman" w:hAnsi="Times New Roman" w:cs="Times New Roman"/>
          <w:i/>
          <w:iCs/>
          <w:color w:val="000000"/>
          <w:spacing w:val="0"/>
          <w:w w:val="100"/>
          <w:position w:val="0"/>
          <w:shd w:val="clear" w:color="auto" w:fill="auto"/>
          <w:lang w:val="de-DE" w:eastAsia="de-DE" w:bidi="de-DE"/>
        </w:rPr>
        <w:t>Phitos.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vol. i. </w:t>
      </w:r>
      <w:r>
        <w:rPr>
          <w:rFonts w:ascii="Times New Roman" w:eastAsia="Times New Roman" w:hAnsi="Times New Roman" w:cs="Times New Roman"/>
          <w:color w:val="000000"/>
          <w:spacing w:val="0"/>
          <w:w w:val="100"/>
          <w:position w:val="0"/>
          <w:shd w:val="clear" w:color="auto" w:fill="auto"/>
          <w:lang w:val="en-US" w:eastAsia="en-US" w:bidi="en-US"/>
        </w:rPr>
        <w:t>(1809).</w:t>
      </w:r>
    </w:p>
    <w:p>
      <w:pPr>
        <w:widowControl w:val="0"/>
        <w:spacing w:line="1" w:lineRule="exact"/>
      </w:pPr>
    </w:p>
    <w:sectPr>
      <w:footnotePr>
        <w:pos w:val="pageBottom"/>
        <w:numFmt w:val="decimal"/>
        <w:numRestart w:val="continuous"/>
      </w:footnotePr>
      <w:type w:val="continuous"/>
      <w:pgSz w:w="12240" w:h="15840"/>
      <w:pgMar w:top="903" w:left="1034" w:right="818" w:bottom="5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