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greater degree of freedom, especially commercial freedom, than had been possible on the Manor. The land was purchased from the Mohawks. To each of the fifteen original proprietors, except Van Corlaer, who received a double portion, was assigned a village lot 200 ft. sq., a tract of bottom-land for farming purposes, a strip of woodland, and common pasture rights. Many of the early settlers were well-to-do and brought their slaves with them, and for many years the settlement was reputed the richest in the colony. It received a serious set-back in 1690, when on the 9th of February a force of French and Indians surprised and burned the village, massacred sixty of the inhabitants and carried thirty into captivity. The village was rebuilt in the following year, and a military post was established. About 1700 there was a considerable influx of English settlers. In 1748 the French and Indians again descended on the region and killed many of the inhabitants of the outlying settlement at Beukendaal, 3 m. N.W. of Schenectady. Schenectady became a chartered borough in 1765 and a city in 1798. The first newspaper,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Gazette,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established in 1799. For some years after the completion of the Erie Canal, Schenectady, which had formerly been an important depot of the Mohawk river boat trade to the westward, suffered a decline. The first two railways in the state made Schenectady their terminus, the Mohawk &amp; Hudson opening to Albany in September 1831 and the Saratoga &amp; Schenectady in July 1832; the original station of the Mohawk &amp; Hudson is still standing. It was not, however, until its new manufacturing era began, about 1880, that Schenectady’s modem growth and prosperity began.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Jonathan Pearson, </w:t>
      </w:r>
      <w:r>
        <w:rPr>
          <w:rFonts w:ascii="Times New Roman" w:eastAsia="Times New Roman" w:hAnsi="Times New Roman" w:cs="Times New Roman"/>
          <w:i/>
          <w:iCs/>
          <w:color w:val="000000"/>
          <w:spacing w:val="0"/>
          <w:w w:val="100"/>
          <w:position w:val="0"/>
          <w:shd w:val="clear" w:color="auto" w:fill="auto"/>
          <w:lang w:val="en-US" w:eastAsia="en-US" w:bidi="en-US"/>
        </w:rPr>
        <w:t>A History of Schenectady Patent in the Dutch and English Times</w:t>
      </w:r>
      <w:r>
        <w:rPr>
          <w:rFonts w:ascii="Times New Roman" w:eastAsia="Times New Roman" w:hAnsi="Times New Roman" w:cs="Times New Roman"/>
          <w:color w:val="000000"/>
          <w:spacing w:val="0"/>
          <w:w w:val="100"/>
          <w:position w:val="0"/>
          <w:shd w:val="clear" w:color="auto" w:fill="auto"/>
          <w:lang w:val="en-US" w:eastAsia="en-US" w:bidi="en-US"/>
        </w:rPr>
        <w:t xml:space="preserve"> (Albany, 1883);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S. Roberts, </w:t>
      </w:r>
      <w:r>
        <w:rPr>
          <w:rFonts w:ascii="Times New Roman" w:eastAsia="Times New Roman" w:hAnsi="Times New Roman" w:cs="Times New Roman"/>
          <w:i/>
          <w:iCs/>
          <w:color w:val="000000"/>
          <w:spacing w:val="0"/>
          <w:w w:val="100"/>
          <w:position w:val="0"/>
          <w:shd w:val="clear" w:color="auto" w:fill="auto"/>
          <w:lang w:val="en-US" w:eastAsia="en-US" w:bidi="en-US"/>
        </w:rPr>
        <w:t>Old Schenectady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Schenectady,</w:t>
      </w:r>
      <w:r>
        <w:rPr>
          <w:rFonts w:ascii="Times New Roman" w:eastAsia="Times New Roman" w:hAnsi="Times New Roman" w:cs="Times New Roman"/>
          <w:color w:val="000000"/>
          <w:spacing w:val="0"/>
          <w:w w:val="100"/>
          <w:position w:val="0"/>
          <w:shd w:val="clear" w:color="auto" w:fill="auto"/>
          <w:lang w:val="en-US" w:eastAsia="en-US" w:bidi="en-US"/>
        </w:rPr>
        <w:t xml:space="preserve"> 1904); and G. R. Howell and J. H. Munsell, </w:t>
      </w:r>
      <w:r>
        <w:rPr>
          <w:rFonts w:ascii="Times New Roman" w:eastAsia="Times New Roman" w:hAnsi="Times New Roman" w:cs="Times New Roman"/>
          <w:i/>
          <w:iCs/>
          <w:color w:val="000000"/>
          <w:spacing w:val="0"/>
          <w:w w:val="100"/>
          <w:position w:val="0"/>
          <w:shd w:val="clear" w:color="auto" w:fill="auto"/>
          <w:lang w:val="en-US" w:eastAsia="en-US" w:bidi="en-US"/>
        </w:rPr>
        <w:t>History of the County of Schenectady</w:t>
      </w:r>
      <w:r>
        <w:rPr>
          <w:rFonts w:ascii="Times New Roman" w:eastAsia="Times New Roman" w:hAnsi="Times New Roman" w:cs="Times New Roman"/>
          <w:color w:val="000000"/>
          <w:spacing w:val="0"/>
          <w:w w:val="100"/>
          <w:position w:val="0"/>
          <w:shd w:val="clear" w:color="auto" w:fill="auto"/>
          <w:lang w:val="en-US" w:eastAsia="en-US" w:bidi="en-US"/>
        </w:rPr>
        <w:t xml:space="preserve"> (Albany, 1887).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SCHENKEL,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DANIEL (1813-1885), Swiss Protestant theo- logian, was born at Dägerlen in the canton of Zürich on the 21st of December 1813. After studying at Basel and Göttingen he was successively pastor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Schaff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hausen (1841), professor of theology at Basel (1849); and at Heidelberg professor of theology (1851), director of the seminary and university preacher. At first inclined to conservatism, he afterwards became an exponent of the mediating theology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(Vermittelungs-theologie</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ultimately a liberal theologian and advanced critic. Associating himself with the “ German Protestant Union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(Deutsche Protestanten-υerein),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defended the community’s claim to autonomy, the cause of universal suffrage in the church and the rights of the laity. From 1852 to 1859 he edited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Allgemeine Kirchenzeitung,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1861 to 1872 the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Allgemeine Kirchliche Zeitschrift,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he had founded in 1859. In 1867, with a view to popularizing the researches and results of the Liberal school, he undertook the editorship of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Bibel-Lexicon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 vols., 1869- 1875), a work which was so much in advance of its time that it is still useful. In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Das Wesen des Protestantismus aus den Quellen des Reformationszeitalters beleuchtet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1846-1851, 2nd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1862), he declares that Protestantism is a principle which is always living and active, and not something which was realized once and for all in the past. He contends that the task of his age was to struggle against the Catholic principle which had infected Protestant theology and the church. In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Christliche Dogmatik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1858-1859) he argues that the record of revelation is human and was historically conditioned: it can never be absolutely perfect; and that inspiration, though originating directly with God, is continued through human instrumentality.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Charakterbild Jesu</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(1864, 4th ed. 1873; Engl. trans. from 3rd ed., 1869), which appeared almost simul</w:t>
        <w:softHyphen/>
        <w:t xml:space="preserve">taneously with D. Strauss’s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Leben Jesu,</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met with fierce opposition. The work is considered too subjective and fanciful, the great fault of the author being that he lacks the impartiality of objec</w:t>
        <w:softHyphen/>
        <w:t>tive historical insight. Yet, as Pfleiderer says, the work “ is full of a passionate enthusiasm for the character of Jesus.” The author rejects all the miracles except those of healing, and these he explains psychologically. His main purpose was to modernize and reinterpret Christianity; he says in the preface to the third edition of the book: “ I have written it solely in the service of evangelical truth, to win to the truth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those especially who have been most unhappily alienated from the church and its interests, in a great measure through the fault of a reactionary party, blinded by hierarchical aims.”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Schenkel </w:t>
      </w:r>
      <w:r>
        <w:rPr>
          <w:rFonts w:ascii="Times New Roman" w:eastAsia="Times New Roman" w:hAnsi="Times New Roman" w:cs="Times New Roman"/>
          <w:color w:val="000000"/>
          <w:spacing w:val="0"/>
          <w:w w:val="100"/>
          <w:position w:val="0"/>
          <w:sz w:val="19"/>
          <w:szCs w:val="19"/>
          <w:shd w:val="clear" w:color="auto" w:fill="auto"/>
          <w:lang w:val="en-US" w:eastAsia="en-US" w:bidi="en-US"/>
        </w:rPr>
        <w:t>died on the 18th of May 1885.</w:t>
      </w:r>
    </w:p>
    <w:p>
      <w:pPr>
        <w:pStyle w:val="Style3"/>
        <w:keepNext w:val="0"/>
        <w:keepLines w:val="0"/>
        <w:widowControl w:val="0"/>
        <w:shd w:val="clear" w:color="auto" w:fill="auto"/>
        <w:tabs>
          <w:tab w:pos="407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works:—</w:t>
      </w:r>
      <w:r>
        <w:rPr>
          <w:rFonts w:ascii="Times New Roman" w:eastAsia="Times New Roman" w:hAnsi="Times New Roman" w:cs="Times New Roman"/>
          <w:i/>
          <w:iCs/>
          <w:color w:val="000000"/>
          <w:spacing w:val="0"/>
          <w:w w:val="100"/>
          <w:position w:val="0"/>
          <w:shd w:val="clear" w:color="auto" w:fill="auto"/>
          <w:lang w:val="en-US" w:eastAsia="en-US" w:bidi="en-US"/>
        </w:rPr>
        <w:t xml:space="preserve">Friedrich </w:t>
      </w:r>
      <w:r>
        <w:rPr>
          <w:rFonts w:ascii="Times New Roman" w:eastAsia="Times New Roman" w:hAnsi="Times New Roman" w:cs="Times New Roman"/>
          <w:i/>
          <w:iCs/>
          <w:color w:val="000000"/>
          <w:spacing w:val="0"/>
          <w:w w:val="100"/>
          <w:position w:val="0"/>
          <w:shd w:val="clear" w:color="auto" w:fill="auto"/>
          <w:lang w:val="de-DE" w:eastAsia="de-DE" w:bidi="de-DE"/>
        </w:rPr>
        <w:t>Schleiermacher. Ein Lebens- und Cha</w:t>
        <w:softHyphen/>
        <w:t>rakterbild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(1868); </w:t>
      </w:r>
      <w:r>
        <w:rPr>
          <w:rFonts w:ascii="Times New Roman" w:eastAsia="Times New Roman" w:hAnsi="Times New Roman" w:cs="Times New Roman"/>
          <w:i/>
          <w:iCs/>
          <w:color w:val="000000"/>
          <w:spacing w:val="0"/>
          <w:w w:val="100"/>
          <w:position w:val="0"/>
          <w:shd w:val="clear" w:color="auto" w:fill="auto"/>
          <w:lang w:val="de-DE" w:eastAsia="de-DE" w:bidi="de-DE"/>
        </w:rPr>
        <w:t>Christentum und Kirche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1867-1872); </w:t>
      </w:r>
      <w:r>
        <w:rPr>
          <w:rFonts w:ascii="Times New Roman" w:eastAsia="Times New Roman" w:hAnsi="Times New Roman" w:cs="Times New Roman"/>
          <w:i/>
          <w:iCs/>
          <w:color w:val="000000"/>
          <w:spacing w:val="0"/>
          <w:w w:val="100"/>
          <w:position w:val="0"/>
          <w:shd w:val="clear" w:color="auto" w:fill="auto"/>
          <w:lang w:val="de-DE" w:eastAsia="de-DE" w:bidi="de-DE"/>
        </w:rPr>
        <w:t>Die Grundlehren des Christentums aus dem Bewusstsein des Glaubens dargestellt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(1877); and </w:t>
      </w:r>
      <w:r>
        <w:rPr>
          <w:rFonts w:ascii="Times New Roman" w:eastAsia="Times New Roman" w:hAnsi="Times New Roman" w:cs="Times New Roman"/>
          <w:i/>
          <w:iCs/>
          <w:color w:val="000000"/>
          <w:spacing w:val="0"/>
          <w:w w:val="100"/>
          <w:position w:val="0"/>
          <w:shd w:val="clear" w:color="auto" w:fill="auto"/>
          <w:lang w:val="de-DE" w:eastAsia="de-DE" w:bidi="de-DE"/>
        </w:rPr>
        <w:t>Das Christusbild der Apostel und der nach</w:t>
        <w:softHyphen/>
        <w:t>apostolischen Zeit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(1879). See Herzog-Hauck, </w:t>
      </w:r>
      <w:r>
        <w:rPr>
          <w:rFonts w:ascii="Times New Roman" w:eastAsia="Times New Roman" w:hAnsi="Times New Roman" w:cs="Times New Roman"/>
          <w:i/>
          <w:iCs/>
          <w:color w:val="000000"/>
          <w:spacing w:val="0"/>
          <w:w w:val="100"/>
          <w:position w:val="0"/>
          <w:shd w:val="clear" w:color="auto" w:fill="auto"/>
          <w:lang w:val="de-DE" w:eastAsia="de-DE" w:bidi="de-DE"/>
        </w:rPr>
        <w:t>Realencyklopädie,</w:t>
      </w:r>
      <w:r>
        <w:rPr>
          <w:rFonts w:ascii="Times New Roman" w:eastAsia="Times New Roman" w:hAnsi="Times New Roman" w:cs="Times New Roman"/>
          <w:color w:val="000000"/>
          <w:spacing w:val="0"/>
          <w:w w:val="100"/>
          <w:position w:val="0"/>
          <w:shd w:val="clear" w:color="auto" w:fill="auto"/>
          <w:lang w:val="de-DE" w:eastAsia="de-DE" w:bidi="de-DE"/>
        </w:rPr>
        <w:t xml:space="preserve"> Otto Pfleiderer, </w:t>
      </w:r>
      <w:r>
        <w:rPr>
          <w:rFonts w:ascii="Times New Roman" w:eastAsia="Times New Roman" w:hAnsi="Times New Roman" w:cs="Times New Roman"/>
          <w:i/>
          <w:iCs/>
          <w:color w:val="000000"/>
          <w:spacing w:val="0"/>
          <w:w w:val="100"/>
          <w:position w:val="0"/>
          <w:shd w:val="clear" w:color="auto" w:fill="auto"/>
          <w:lang w:val="en-US" w:eastAsia="en-US" w:bidi="en-US"/>
        </w:rPr>
        <w:t>Development of Theology</w:t>
      </w:r>
      <w:r>
        <w:rPr>
          <w:rFonts w:ascii="Times New Roman" w:eastAsia="Times New Roman" w:hAnsi="Times New Roman" w:cs="Times New Roman"/>
          <w:color w:val="000000"/>
          <w:spacing w:val="0"/>
          <w:w w:val="100"/>
          <w:position w:val="0"/>
          <w:shd w:val="clear" w:color="auto" w:fill="auto"/>
          <w:lang w:val="en-US" w:eastAsia="en-US" w:bidi="en-US"/>
        </w:rPr>
        <w:t xml:space="preserve"> (1890);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F. Lichtenberger, </w:t>
      </w:r>
      <w:r>
        <w:rPr>
          <w:rFonts w:ascii="Times New Roman" w:eastAsia="Times New Roman" w:hAnsi="Times New Roman" w:cs="Times New Roman"/>
          <w:i/>
          <w:iCs/>
          <w:color w:val="000000"/>
          <w:spacing w:val="0"/>
          <w:w w:val="100"/>
          <w:position w:val="0"/>
          <w:shd w:val="clear" w:color="auto" w:fill="auto"/>
          <w:lang w:val="en-US" w:eastAsia="en-US" w:bidi="en-US"/>
        </w:rPr>
        <w:t>History of German Theology</w:t>
      </w:r>
      <w:r>
        <w:rPr>
          <w:rFonts w:ascii="Times New Roman" w:eastAsia="Times New Roman" w:hAnsi="Times New Roman" w:cs="Times New Roman"/>
          <w:color w:val="000000"/>
          <w:spacing w:val="0"/>
          <w:w w:val="100"/>
          <w:position w:val="0"/>
          <w:shd w:val="clear" w:color="auto" w:fill="auto"/>
          <w:lang w:val="en-US" w:eastAsia="en-US" w:bidi="en-US"/>
        </w:rPr>
        <w:t xml:space="preserve"> (1889).</w:t>
        <w:tab/>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A. C.)</w:t>
      </w:r>
    </w:p>
    <w:p>
      <w:pPr>
        <w:pStyle w:val="Style3"/>
        <w:keepNext w:val="0"/>
        <w:keepLines w:val="0"/>
        <w:widowControl w:val="0"/>
        <w:shd w:val="clear" w:color="auto" w:fill="auto"/>
        <w:tabs>
          <w:tab w:pos="4675"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SCHERER, EDMOND HENRI ADOLPHE (1815-1889), French theologian, critic and politician, was born in Paris on the 8th of April 1815. After a course of legal studies he spent several years in theological study at Strassburg, where he graduated doctor in theology in 1843, and was ordained. In 1843 he was appointed to a professorship in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École Évangélique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Geneva, but the development of his opinions in favour of the Liberal movement in Protestant theology led to his resigning the post six years later. He founded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Anti-Jésuite,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afterwards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Réformation au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XIX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siècle,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which he advocated the separa- tion of the Church from the State; but he gradually abandoned Protestant doctrine. In thought he became a pronounced Hegelian. Eventually he settled in Paris, where he at once attracted attention by brilliant literary criticisms, at first chiefly on great foreign writers, contributed to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Revue des deux mondes.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was elected municipal councillor at Versailles in 1870, deputy to the National Assembly for the department of Seine-et-Oise in 1871 and senator in 1875. He supported the Republican party. Towards the end of his life he devoted himself mainly to literary and general criticism, and was for many years one of the ablest contributors to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Temps.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was a frequent visitor to England, and took a lively interest in English politics and literature. He died at Versailles on the 16th of March 1889.</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chief works are: </w:t>
      </w:r>
      <w:r>
        <w:rPr>
          <w:rFonts w:ascii="Times New Roman" w:eastAsia="Times New Roman" w:hAnsi="Times New Roman" w:cs="Times New Roman"/>
          <w:i/>
          <w:iCs/>
          <w:color w:val="000000"/>
          <w:spacing w:val="0"/>
          <w:w w:val="100"/>
          <w:position w:val="0"/>
          <w:shd w:val="clear" w:color="auto" w:fill="auto"/>
          <w:lang w:val="fr-FR" w:eastAsia="fr-FR" w:bidi="fr-FR"/>
        </w:rPr>
        <w:t>Dogmatique de l'Église réformée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(1843), </w:t>
      </w:r>
      <w:r>
        <w:rPr>
          <w:rFonts w:ascii="Times New Roman" w:eastAsia="Times New Roman" w:hAnsi="Times New Roman" w:cs="Times New Roman"/>
          <w:i/>
          <w:iCs/>
          <w:color w:val="000000"/>
          <w:spacing w:val="0"/>
          <w:w w:val="100"/>
          <w:position w:val="0"/>
          <w:shd w:val="clear" w:color="auto" w:fill="auto"/>
          <w:lang w:val="fr-FR" w:eastAsia="fr-FR" w:bidi="fr-FR"/>
        </w:rPr>
        <w:t>De l'état actuel 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l'</w:t>
      </w:r>
      <w:r>
        <w:rPr>
          <w:rFonts w:ascii="Times New Roman" w:eastAsia="Times New Roman" w:hAnsi="Times New Roman" w:cs="Times New Roman"/>
          <w:i/>
          <w:iCs/>
          <w:color w:val="000000"/>
          <w:spacing w:val="0"/>
          <w:w w:val="100"/>
          <w:position w:val="0"/>
          <w:shd w:val="clear" w:color="auto" w:fill="auto"/>
          <w:lang w:val="fr-FR" w:eastAsia="fr-FR" w:bidi="fr-FR"/>
        </w:rPr>
        <w:t>Église réformée en France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(1844), </w:t>
      </w:r>
      <w:r>
        <w:rPr>
          <w:rFonts w:ascii="Times New Roman" w:eastAsia="Times New Roman" w:hAnsi="Times New Roman" w:cs="Times New Roman"/>
          <w:i/>
          <w:iCs/>
          <w:color w:val="000000"/>
          <w:spacing w:val="0"/>
          <w:w w:val="100"/>
          <w:position w:val="0"/>
          <w:shd w:val="clear" w:color="auto" w:fill="auto"/>
          <w:lang w:val="fr-FR" w:eastAsia="fr-FR" w:bidi="fr-FR"/>
        </w:rPr>
        <w:t>Esquisse d'une théorie de l'Église chrétienne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(1845), </w:t>
      </w:r>
      <w:r>
        <w:rPr>
          <w:rFonts w:ascii="Times New Roman" w:eastAsia="Times New Roman" w:hAnsi="Times New Roman" w:cs="Times New Roman"/>
          <w:i/>
          <w:iCs/>
          <w:color w:val="000000"/>
          <w:spacing w:val="0"/>
          <w:w w:val="100"/>
          <w:position w:val="0"/>
          <w:shd w:val="clear" w:color="auto" w:fill="auto"/>
          <w:lang w:val="fr-FR" w:eastAsia="fr-FR" w:bidi="fr-FR"/>
        </w:rPr>
        <w:t>La Critique et la foi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(1850), </w:t>
      </w:r>
      <w:r>
        <w:rPr>
          <w:rFonts w:ascii="Times New Roman" w:eastAsia="Times New Roman" w:hAnsi="Times New Roman" w:cs="Times New Roman"/>
          <w:i/>
          <w:iCs/>
          <w:color w:val="000000"/>
          <w:spacing w:val="0"/>
          <w:w w:val="100"/>
          <w:position w:val="0"/>
          <w:shd w:val="clear" w:color="auto" w:fill="auto"/>
          <w:lang w:val="fr-FR" w:eastAsia="fr-FR" w:bidi="fr-FR"/>
        </w:rPr>
        <w:t>Alexandre Vinet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(1853), </w:t>
      </w:r>
      <w:r>
        <w:rPr>
          <w:rFonts w:ascii="Times New Roman" w:eastAsia="Times New Roman" w:hAnsi="Times New Roman" w:cs="Times New Roman"/>
          <w:i/>
          <w:iCs/>
          <w:color w:val="000000"/>
          <w:spacing w:val="0"/>
          <w:w w:val="100"/>
          <w:position w:val="0"/>
          <w:shd w:val="clear" w:color="auto" w:fill="auto"/>
          <w:lang w:val="fr-FR" w:eastAsia="fr-FR" w:bidi="fr-FR"/>
        </w:rPr>
        <w:t>Lettres à mon curé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(1853), </w:t>
      </w:r>
      <w:r>
        <w:rPr>
          <w:rFonts w:ascii="Times New Roman" w:eastAsia="Times New Roman" w:hAnsi="Times New Roman" w:cs="Times New Roman"/>
          <w:i/>
          <w:iCs/>
          <w:color w:val="000000"/>
          <w:spacing w:val="0"/>
          <w:w w:val="100"/>
          <w:position w:val="0"/>
          <w:shd w:val="clear" w:color="auto" w:fill="auto"/>
          <w:lang w:val="fr-FR" w:eastAsia="fr-FR" w:bidi="fr-FR"/>
        </w:rPr>
        <w:t>Études critiques sur la littérature contemporaine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(1863-1889), </w:t>
      </w:r>
      <w:r>
        <w:rPr>
          <w:rFonts w:ascii="Times New Roman" w:eastAsia="Times New Roman" w:hAnsi="Times New Roman" w:cs="Times New Roman"/>
          <w:i/>
          <w:iCs/>
          <w:color w:val="000000"/>
          <w:spacing w:val="0"/>
          <w:w w:val="100"/>
          <w:position w:val="0"/>
          <w:shd w:val="clear" w:color="auto" w:fill="auto"/>
          <w:lang w:val="fr-FR" w:eastAsia="fr-FR" w:bidi="fr-FR"/>
        </w:rPr>
        <w:t>Études critiques de littérature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(1876), </w:t>
      </w:r>
      <w:r>
        <w:rPr>
          <w:rFonts w:ascii="Times New Roman" w:eastAsia="Times New Roman" w:hAnsi="Times New Roman" w:cs="Times New Roman"/>
          <w:i/>
          <w:iCs/>
          <w:color w:val="000000"/>
          <w:spacing w:val="0"/>
          <w:w w:val="100"/>
          <w:position w:val="0"/>
          <w:shd w:val="clear" w:color="auto" w:fill="auto"/>
          <w:lang w:val="fr-FR" w:eastAsia="fr-FR" w:bidi="fr-FR"/>
        </w:rPr>
        <w:t>Diderot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(1880), </w:t>
      </w:r>
      <w:r>
        <w:rPr>
          <w:rFonts w:ascii="Times New Roman" w:eastAsia="Times New Roman" w:hAnsi="Times New Roman" w:cs="Times New Roman"/>
          <w:i/>
          <w:iCs/>
          <w:color w:val="000000"/>
          <w:spacing w:val="0"/>
          <w:w w:val="100"/>
          <w:position w:val="0"/>
          <w:shd w:val="clear" w:color="auto" w:fill="auto"/>
          <w:lang w:val="fr-FR" w:eastAsia="fr-FR" w:bidi="fr-FR"/>
        </w:rPr>
        <w:t>La Démocratie et la France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(1883), </w:t>
      </w:r>
      <w:r>
        <w:rPr>
          <w:rFonts w:ascii="Times New Roman" w:eastAsia="Times New Roman" w:hAnsi="Times New Roman" w:cs="Times New Roman"/>
          <w:i/>
          <w:iCs/>
          <w:color w:val="000000"/>
          <w:spacing w:val="0"/>
          <w:w w:val="100"/>
          <w:position w:val="0"/>
          <w:shd w:val="clear" w:color="auto" w:fill="auto"/>
          <w:lang w:val="fr-FR" w:eastAsia="fr-FR" w:bidi="fr-FR"/>
        </w:rPr>
        <w:t>Études sur la littérature au XVIII siècle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memoir of him, by V. C. O. Gréard, appeared in 1890. See also an article by Professor E. Dowden in the </w:t>
      </w:r>
      <w:r>
        <w:rPr>
          <w:rFonts w:ascii="Times New Roman" w:eastAsia="Times New Roman" w:hAnsi="Times New Roman" w:cs="Times New Roman"/>
          <w:i/>
          <w:iCs/>
          <w:color w:val="000000"/>
          <w:spacing w:val="0"/>
          <w:w w:val="100"/>
          <w:position w:val="0"/>
          <w:shd w:val="clear" w:color="auto" w:fill="auto"/>
          <w:lang w:val="en-US" w:eastAsia="en-US" w:bidi="en-US"/>
        </w:rPr>
        <w:t>Fortnightly Review</w:t>
      </w:r>
      <w:r>
        <w:rPr>
          <w:rFonts w:ascii="Times New Roman" w:eastAsia="Times New Roman" w:hAnsi="Times New Roman" w:cs="Times New Roman"/>
          <w:color w:val="000000"/>
          <w:spacing w:val="0"/>
          <w:w w:val="100"/>
          <w:position w:val="0"/>
          <w:shd w:val="clear" w:color="auto" w:fill="auto"/>
          <w:lang w:val="en-US" w:eastAsia="en-US" w:bidi="en-US"/>
        </w:rPr>
        <w:t xml:space="preserve"> (April 1889).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SCHERER, WILHELM (1841-1886), German philologist and historian of literature,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Schönborn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Lower Austria on the 26th of April 1841. He was educated at the academic gymnasium at Vienna and afterwards at the university, where he was the favourite pupil of the distinguished Germanist, Karl Viktor Müllenhoff (1818-1884). Having taken the degree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doctor philosophiae,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became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Privatdozent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German language and literature in 1864. In 1868 he was appointed ordinary professor, and in 1872 received a call in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like capacity to Strass- burg, and in 1877 to Berlin, where in 1884 he was made member of the Academy of Sciences. He died at Berlin on the 6th of August 1886.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Scherer’s literary activity falls into three categories: in Vienna he was the philologist, at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the professor of literature and in Berlin the author. His earliest work was a biography of the great philologist Jakob Grimm (1865, 2nd ed. 1885); he next, in conjunction with his former teacher Müllenhoff, published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Denkmäler deutscher Poesie und Prosa aus dem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8. </w:t>
      </w:r>
      <w:r>
        <w:rPr>
          <w:rFonts w:ascii="Times New Roman" w:eastAsia="Times New Roman" w:hAnsi="Times New Roman" w:cs="Times New Roman"/>
          <w:i/>
          <w:iCs/>
          <w:color w:val="000000"/>
          <w:spacing w:val="0"/>
          <w:w w:val="100"/>
          <w:position w:val="0"/>
          <w:shd w:val="clear" w:color="auto" w:fill="auto"/>
          <w:lang w:val="de-DE" w:eastAsia="de-DE" w:bidi="de-DE"/>
        </w:rPr>
        <w:t xml:space="preserve">bis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12. </w:t>
      </w:r>
      <w:r>
        <w:rPr>
          <w:rFonts w:ascii="Times New Roman" w:eastAsia="Times New Roman" w:hAnsi="Times New Roman" w:cs="Times New Roman"/>
          <w:i/>
          <w:iCs/>
          <w:color w:val="000000"/>
          <w:spacing w:val="0"/>
          <w:w w:val="100"/>
          <w:position w:val="0"/>
          <w:shd w:val="clear" w:color="auto" w:fill="auto"/>
          <w:lang w:val="de-DE" w:eastAsia="de-DE" w:bidi="de-DE"/>
        </w:rPr>
        <w:t>Jahrhundert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(1864, 3rd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1892). His first great work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however, </w:t>
      </w:r>
      <w:r>
        <w:rPr>
          <w:rFonts w:ascii="Times New Roman" w:eastAsia="Times New Roman" w:hAnsi="Times New Roman" w:cs="Times New Roman"/>
          <w:i/>
          <w:iCs/>
          <w:color w:val="000000"/>
          <w:spacing w:val="0"/>
          <w:w w:val="100"/>
          <w:position w:val="0"/>
          <w:shd w:val="clear" w:color="auto" w:fill="auto"/>
          <w:lang w:val="de-DE" w:eastAsia="de-DE" w:bidi="de-DE"/>
        </w:rPr>
        <w:t>Zur Geschichte der deutschen Sprache</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1868; 3rd</w:t>
      </w:r>
      <w:r>
        <w:rPr>
          <w:rFonts w:ascii="Times New Roman" w:eastAsia="Times New Roman" w:hAnsi="Times New Roman" w:cs="Times New Roman"/>
          <w:color w:val="000000"/>
          <w:spacing w:val="0"/>
          <w:w w:val="100"/>
          <w:position w:val="0"/>
          <w:shd w:val="clear" w:color="auto" w:fill="auto"/>
          <w:lang w:val="de-DE" w:eastAsia="de-DE" w:bidi="de-DE"/>
        </w:rPr>
        <w:t xml:space="preserve"> ed., </w:t>
      </w:r>
      <w:r>
        <w:rPr>
          <w:rFonts w:ascii="Times New Roman" w:eastAsia="Times New Roman" w:hAnsi="Times New Roman" w:cs="Times New Roman"/>
          <w:color w:val="000000"/>
          <w:spacing w:val="0"/>
          <w:w w:val="100"/>
          <w:position w:val="0"/>
          <w:shd w:val="clear" w:color="auto" w:fill="auto"/>
          <w:lang w:val="en-US" w:eastAsia="en-US" w:bidi="en-US"/>
        </w:rPr>
        <w:t xml:space="preserve">1890), being </w:t>
      </w:r>
      <w:r>
        <w:rPr>
          <w:rFonts w:ascii="Times New Roman" w:eastAsia="Times New Roman" w:hAnsi="Times New Roman" w:cs="Times New Roman"/>
          <w:color w:val="000000"/>
          <w:spacing w:val="0"/>
          <w:w w:val="100"/>
          <w:position w:val="0"/>
          <w:shd w:val="clear" w:color="auto" w:fill="auto"/>
          <w:lang w:val="de-DE" w:eastAsia="de-DE" w:bidi="de-DE"/>
        </w:rPr>
        <w:t xml:space="preserve">a history </w:t>
      </w:r>
      <w:r>
        <w:rPr>
          <w:rFonts w:ascii="Times New Roman" w:eastAsia="Times New Roman" w:hAnsi="Times New Roman" w:cs="Times New Roman"/>
          <w:color w:val="000000"/>
          <w:spacing w:val="0"/>
          <w:w w:val="100"/>
          <w:position w:val="0"/>
          <w:shd w:val="clear" w:color="auto" w:fill="auto"/>
          <w:lang w:val="en-US" w:eastAsia="en-US" w:bidi="en-US"/>
        </w:rPr>
        <w:t xml:space="preserve">of the German language with especial reference to phonetic laws. He contributed the section on Alsatian literature to O. Lorenz’s </w:t>
      </w:r>
      <w:r>
        <w:rPr>
          <w:rFonts w:ascii="Times New Roman" w:eastAsia="Times New Roman" w:hAnsi="Times New Roman" w:cs="Times New Roman"/>
          <w:i/>
          <w:iCs/>
          <w:color w:val="000000"/>
          <w:spacing w:val="0"/>
          <w:w w:val="100"/>
          <w:position w:val="0"/>
          <w:shd w:val="clear" w:color="auto" w:fill="auto"/>
          <w:lang w:val="de-DE" w:eastAsia="de-DE" w:bidi="de-DE"/>
        </w:rPr>
        <w:t>Geschichte des Elsasses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(1871, 3rd ed. 1886). Other important works are </w:t>
      </w:r>
      <w:r>
        <w:rPr>
          <w:rFonts w:ascii="Times New Roman" w:eastAsia="Times New Roman" w:hAnsi="Times New Roman" w:cs="Times New Roman"/>
          <w:i/>
          <w:iCs/>
          <w:color w:val="000000"/>
          <w:spacing w:val="0"/>
          <w:w w:val="100"/>
          <w:position w:val="0"/>
          <w:shd w:val="clear" w:color="auto" w:fill="auto"/>
          <w:lang w:val="de-DE" w:eastAsia="de-DE" w:bidi="de-DE"/>
        </w:rPr>
        <w:t>Geistliche Poeten der deutschen Kaiserzeit</w:t>
      </w:r>
      <w:r>
        <w:rPr>
          <w:rFonts w:ascii="Times New Roman" w:eastAsia="Times New Roman" w:hAnsi="Times New Roman" w:cs="Times New Roman"/>
          <w:color w:val="000000"/>
          <w:spacing w:val="0"/>
          <w:w w:val="100"/>
          <w:position w:val="0"/>
          <w:shd w:val="clear" w:color="auto" w:fill="auto"/>
          <w:lang w:val="de-DE" w:eastAsia="de-DE" w:bidi="de-DE"/>
        </w:rPr>
        <w:t xml:space="preserve"> (Strassburg,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1874-1875); </w:t>
      </w:r>
      <w:r>
        <w:rPr>
          <w:rFonts w:ascii="Times New Roman" w:eastAsia="Times New Roman" w:hAnsi="Times New Roman" w:cs="Times New Roman"/>
          <w:i/>
          <w:iCs/>
          <w:color w:val="000000"/>
          <w:spacing w:val="0"/>
          <w:w w:val="100"/>
          <w:position w:val="0"/>
          <w:shd w:val="clear" w:color="auto" w:fill="auto"/>
          <w:lang w:val="de-DE" w:eastAsia="de-DE" w:bidi="de-DE"/>
        </w:rPr>
        <w:t>Geschichte der deutschen Dichtung im 11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12. </w:t>
      </w:r>
      <w:r>
        <w:rPr>
          <w:rFonts w:ascii="Times New Roman" w:eastAsia="Times New Roman" w:hAnsi="Times New Roman" w:cs="Times New Roman"/>
          <w:i/>
          <w:iCs/>
          <w:color w:val="000000"/>
          <w:spacing w:val="0"/>
          <w:w w:val="100"/>
          <w:position w:val="0"/>
          <w:shd w:val="clear" w:color="auto" w:fill="auto"/>
          <w:lang w:val="de-DE" w:eastAsia="de-DE" w:bidi="de-DE"/>
        </w:rPr>
        <w:t>Jahrhundert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(1875); and </w:t>
      </w:r>
      <w:r>
        <w:rPr>
          <w:rFonts w:ascii="Times New Roman" w:eastAsia="Times New Roman" w:hAnsi="Times New Roman" w:cs="Times New Roman"/>
          <w:i/>
          <w:iCs/>
          <w:color w:val="000000"/>
          <w:spacing w:val="0"/>
          <w:w w:val="100"/>
          <w:position w:val="0"/>
          <w:shd w:val="clear" w:color="auto" w:fill="auto"/>
          <w:lang w:val="en-US" w:eastAsia="en-US" w:bidi="en-US"/>
        </w:rPr>
        <w:t>Vorträge und</w:t>
      </w:r>
      <w:r>
        <w:rPr>
          <w:rFonts w:ascii="Times New Roman" w:eastAsia="Times New Roman" w:hAnsi="Times New Roman" w:cs="Times New Roman"/>
          <w:i/>
          <w:iCs/>
          <w:color w:val="000000"/>
          <w:spacing w:val="0"/>
          <w:w w:val="100"/>
          <w:position w:val="0"/>
          <w:shd w:val="clear" w:color="auto" w:fill="auto"/>
          <w:lang w:val="de-DE" w:eastAsia="de-DE" w:bidi="de-DE"/>
        </w:rPr>
        <w:t xml:space="preserve"> Aufsätze zur Geschichte des geistigen Lebens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Deutschland und Österreich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(1874). Scherer’s best-known work is his history of German literature, </w:t>
      </w:r>
      <w:r>
        <w:rPr>
          <w:rFonts w:ascii="Times New Roman" w:eastAsia="Times New Roman" w:hAnsi="Times New Roman" w:cs="Times New Roman"/>
          <w:i/>
          <w:iCs/>
          <w:color w:val="000000"/>
          <w:spacing w:val="0"/>
          <w:w w:val="100"/>
          <w:position w:val="0"/>
          <w:shd w:val="clear" w:color="auto" w:fill="auto"/>
          <w:lang w:val="de-DE" w:eastAsia="de-DE" w:bidi="de-DE"/>
        </w:rPr>
        <w:t>Geschichte der deutschen Literatur</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 xml:space="preserve">1883; 10th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1905; English translation by </w:t>
      </w:r>
      <w:r>
        <w:rPr>
          <w:rFonts w:ascii="Times New Roman" w:eastAsia="Times New Roman" w:hAnsi="Times New Roman" w:cs="Times New Roman"/>
          <w:color w:val="000000"/>
          <w:spacing w:val="0"/>
          <w:w w:val="100"/>
          <w:position w:val="0"/>
          <w:shd w:val="clear" w:color="auto" w:fill="auto"/>
          <w:lang w:val="fr-FR" w:eastAsia="fr-FR" w:bidi="fr-FR"/>
        </w:rPr>
        <w:t xml:space="preserve">Mrs F. C. </w:t>
      </w:r>
      <w:r>
        <w:rPr>
          <w:rFonts w:ascii="Times New Roman" w:eastAsia="Times New Roman" w:hAnsi="Times New Roman" w:cs="Times New Roman"/>
          <w:color w:val="000000"/>
          <w:spacing w:val="0"/>
          <w:w w:val="100"/>
          <w:position w:val="0"/>
          <w:shd w:val="clear" w:color="auto" w:fill="auto"/>
          <w:lang w:val="en-US" w:eastAsia="en-US" w:bidi="en-US"/>
        </w:rPr>
        <w:t>Conybeare, 1883; new ed., 1906). This work is distinguished by the clearness with which details are co-ordinated with a general and comprehensive survey of German literature from the beginning to the death of Goethe. Besides many other philological treatises, Scherer wrote largely on Goethe (</w:t>
      </w:r>
      <w:r>
        <w:rPr>
          <w:rFonts w:ascii="Times New Roman" w:eastAsia="Times New Roman" w:hAnsi="Times New Roman" w:cs="Times New Roman"/>
          <w:i/>
          <w:iCs/>
          <w:color w:val="000000"/>
          <w:spacing w:val="0"/>
          <w:w w:val="100"/>
          <w:position w:val="0"/>
          <w:shd w:val="clear" w:color="auto" w:fill="auto"/>
          <w:lang w:val="en-US" w:eastAsia="en-US" w:bidi="en-US"/>
        </w:rPr>
        <w:t>Aus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Goethes </w:t>
      </w:r>
      <w:r>
        <w:rPr>
          <w:rFonts w:ascii="Times New Roman" w:eastAsia="Times New Roman" w:hAnsi="Times New Roman" w:cs="Times New Roman"/>
          <w:i/>
          <w:iCs/>
          <w:color w:val="000000"/>
          <w:spacing w:val="0"/>
          <w:w w:val="100"/>
          <w:position w:val="0"/>
          <w:shd w:val="clear" w:color="auto" w:fill="auto"/>
          <w:lang w:val="de-DE" w:eastAsia="de-DE" w:bidi="de-DE"/>
        </w:rPr>
        <w:t>Frühzeit,</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