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hereditary prince of Holstein-Augustenburg and his minister, Graf Schimmelmann, who conferred upon him a pension of 1000 talers a year for three years. Schiller resolved to devote the leisure of these years to the study of philosophy. In the summer of 1790 he had lectured in Jena on the aesthetics of tragedy, and in the following year he studied carefully Kant’s treatise on aesthetics, </w:t>
      </w:r>
      <w:r>
        <w:rPr>
          <w:rFonts w:ascii="Times New Roman" w:eastAsia="Times New Roman" w:hAnsi="Times New Roman" w:cs="Times New Roman"/>
          <w:i/>
          <w:iCs/>
          <w:color w:val="000000"/>
          <w:spacing w:val="0"/>
          <w:w w:val="100"/>
          <w:position w:val="0"/>
          <w:shd w:val="clear" w:color="auto" w:fill="auto"/>
          <w:lang w:val="de-DE" w:eastAsia="de-DE" w:bidi="de-DE"/>
        </w:rPr>
        <w:t>Kritik der Urteilskraft,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had just appeared and appealed powerfully to Schiller’s mind. The influence of these studies is to be seen in the essays </w:t>
      </w:r>
      <w:r>
        <w:rPr>
          <w:rFonts w:ascii="Times New Roman" w:eastAsia="Times New Roman" w:hAnsi="Times New Roman" w:cs="Times New Roman"/>
          <w:i/>
          <w:iCs/>
          <w:color w:val="000000"/>
          <w:spacing w:val="0"/>
          <w:w w:val="100"/>
          <w:position w:val="0"/>
          <w:shd w:val="clear" w:color="auto" w:fill="auto"/>
          <w:lang w:val="de-DE" w:eastAsia="de-DE" w:bidi="de-DE"/>
        </w:rPr>
        <w:t xml:space="preserve">Über den Grund unseres Vergnügens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 </w:t>
      </w:r>
      <w:r>
        <w:rPr>
          <w:rFonts w:ascii="Times New Roman" w:eastAsia="Times New Roman" w:hAnsi="Times New Roman" w:cs="Times New Roman"/>
          <w:i/>
          <w:iCs/>
          <w:color w:val="000000"/>
          <w:spacing w:val="0"/>
          <w:w w:val="100"/>
          <w:position w:val="0"/>
          <w:shd w:val="clear" w:color="auto" w:fill="auto"/>
          <w:lang w:val="de-DE" w:eastAsia="de-DE" w:bidi="de-DE"/>
        </w:rPr>
        <w:t xml:space="preserve">tragischen Gegenständen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hd w:val="clear" w:color="auto" w:fill="auto"/>
          <w:lang w:val="de-DE" w:eastAsia="de-DE" w:bidi="de-DE"/>
        </w:rPr>
        <w:t>Über tragische Kunst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(1792), as well as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his correspondence with his friend </w:t>
      </w:r>
      <w:r>
        <w:rPr>
          <w:rFonts w:ascii="Times New Roman" w:eastAsia="Times New Roman" w:hAnsi="Times New Roman" w:cs="Times New Roman"/>
          <w:color w:val="000000"/>
          <w:spacing w:val="0"/>
          <w:w w:val="100"/>
          <w:position w:val="0"/>
          <w:shd w:val="clear" w:color="auto" w:fill="auto"/>
          <w:lang w:val="de-DE" w:eastAsia="de-DE" w:bidi="de-DE"/>
        </w:rPr>
        <w:t xml:space="preserve">Körner. </w:t>
      </w:r>
      <w:r>
        <w:rPr>
          <w:rFonts w:ascii="Times New Roman" w:eastAsia="Times New Roman" w:hAnsi="Times New Roman" w:cs="Times New Roman"/>
          <w:color w:val="000000"/>
          <w:spacing w:val="0"/>
          <w:w w:val="100"/>
          <w:position w:val="0"/>
          <w:shd w:val="clear" w:color="auto" w:fill="auto"/>
          <w:lang w:val="en-US" w:eastAsia="en-US" w:bidi="en-US"/>
        </w:rPr>
        <w:t xml:space="preserve">Here Schiller arrives at his definition of beauty,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Freiheit in </w:t>
      </w:r>
      <w:r>
        <w:rPr>
          <w:rFonts w:ascii="Times New Roman" w:eastAsia="Times New Roman" w:hAnsi="Times New Roman" w:cs="Times New Roman"/>
          <w:i/>
          <w:iCs/>
          <w:color w:val="000000"/>
          <w:spacing w:val="0"/>
          <w:w w:val="100"/>
          <w:position w:val="0"/>
          <w:shd w:val="clear" w:color="auto" w:fill="auto"/>
          <w:lang w:val="de-DE" w:eastAsia="de-DE" w:bidi="de-DE"/>
        </w:rPr>
        <w:t>der Erscheinung,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although it failed to remove Kant’s difficulty that beauty was essentially a subjective conception, marked the beginning of a new stage in the history of German aesthetic theory. </w:t>
      </w:r>
      <w:r>
        <w:rPr>
          <w:rFonts w:ascii="Times New Roman" w:eastAsia="Times New Roman" w:hAnsi="Times New Roman" w:cs="Times New Roman"/>
          <w:i/>
          <w:iCs/>
          <w:color w:val="000000"/>
          <w:spacing w:val="0"/>
          <w:w w:val="100"/>
          <w:position w:val="0"/>
          <w:shd w:val="clear" w:color="auto" w:fill="auto"/>
          <w:lang w:val="de-DE" w:eastAsia="de-DE" w:bidi="de-DE"/>
        </w:rPr>
        <w:t>Über Anmut und Wurde,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1793,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a further contribution to the elucidation and widening of Kant’s theories; and in the </w:t>
      </w:r>
      <w:r>
        <w:rPr>
          <w:rFonts w:ascii="Times New Roman" w:eastAsia="Times New Roman" w:hAnsi="Times New Roman" w:cs="Times New Roman"/>
          <w:color w:val="000000"/>
          <w:spacing w:val="0"/>
          <w:w w:val="100"/>
          <w:position w:val="0"/>
          <w:shd w:val="clear" w:color="auto" w:fill="auto"/>
          <w:lang w:val="de-DE" w:eastAsia="de-DE" w:bidi="de-DE"/>
        </w:rPr>
        <w:t xml:space="preserve">eloquent </w:t>
      </w:r>
      <w:r>
        <w:rPr>
          <w:rFonts w:ascii="Times New Roman" w:eastAsia="Times New Roman" w:hAnsi="Times New Roman" w:cs="Times New Roman"/>
          <w:i/>
          <w:iCs/>
          <w:color w:val="000000"/>
          <w:spacing w:val="0"/>
          <w:w w:val="100"/>
          <w:position w:val="0"/>
          <w:shd w:val="clear" w:color="auto" w:fill="auto"/>
          <w:lang w:val="de-DE" w:eastAsia="de-DE" w:bidi="de-DE"/>
        </w:rPr>
        <w:t xml:space="preserve">Briefe über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ästhetische Erziehung des Menschen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(1795), </w:t>
      </w:r>
      <w:r>
        <w:rPr>
          <w:rFonts w:ascii="Times New Roman" w:eastAsia="Times New Roman" w:hAnsi="Times New Roman" w:cs="Times New Roman"/>
          <w:color w:val="000000"/>
          <w:spacing w:val="0"/>
          <w:w w:val="100"/>
          <w:position w:val="0"/>
          <w:shd w:val="clear" w:color="auto" w:fill="auto"/>
          <w:lang w:val="de-DE" w:eastAsia="de-DE" w:bidi="de-DE"/>
        </w:rPr>
        <w:t xml:space="preserve">Schillcr </w:t>
      </w:r>
      <w:r>
        <w:rPr>
          <w:rFonts w:ascii="Times New Roman" w:eastAsia="Times New Roman" w:hAnsi="Times New Roman" w:cs="Times New Roman"/>
          <w:color w:val="000000"/>
          <w:spacing w:val="0"/>
          <w:w w:val="100"/>
          <w:position w:val="0"/>
          <w:shd w:val="clear" w:color="auto" w:fill="auto"/>
          <w:lang w:val="en-US" w:eastAsia="en-US" w:bidi="en-US"/>
        </w:rPr>
        <w:t xml:space="preserve">proceeded to apply his new standpoint to the problems of social and individual life. These remarkable letters were published in </w:t>
      </w:r>
      <w:r>
        <w:rPr>
          <w:rFonts w:ascii="Times New Roman" w:eastAsia="Times New Roman" w:hAnsi="Times New Roman" w:cs="Times New Roman"/>
          <w:i/>
          <w:iCs/>
          <w:color w:val="000000"/>
          <w:spacing w:val="0"/>
          <w:w w:val="100"/>
          <w:position w:val="0"/>
          <w:shd w:val="clear" w:color="auto" w:fill="auto"/>
          <w:lang w:val="en-US" w:eastAsia="en-US" w:bidi="en-US"/>
        </w:rPr>
        <w:t>Die Horen,</w:t>
      </w:r>
      <w:r>
        <w:rPr>
          <w:rFonts w:ascii="Times New Roman" w:eastAsia="Times New Roman" w:hAnsi="Times New Roman" w:cs="Times New Roman"/>
          <w:color w:val="000000"/>
          <w:spacing w:val="0"/>
          <w:w w:val="100"/>
          <w:position w:val="0"/>
          <w:shd w:val="clear" w:color="auto" w:fill="auto"/>
          <w:lang w:val="en-US" w:eastAsia="en-US" w:bidi="en-US"/>
        </w:rPr>
        <w:t xml:space="preserve"> a new journal, founded in 1794» which was the immediate occasion for that intimate friendship with Goethe which dominated the remainder of Schiller’s life. The two poets had first met in 1788, but at that time Goethe, fresh from ltaly, felt little inclination towards the author of the turbulent dramas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Räuber, Kabale und Liebe</w:t>
      </w:r>
      <w:r>
        <w:rPr>
          <w:rFonts w:ascii="Times New Roman" w:eastAsia="Times New Roman" w:hAnsi="Times New Roman" w:cs="Times New Roman"/>
          <w:color w:val="000000"/>
          <w:spacing w:val="0"/>
          <w:w w:val="100"/>
          <w:position w:val="0"/>
          <w:shd w:val="clear" w:color="auto" w:fill="auto"/>
          <w:lang w:val="de-DE" w:eastAsia="de-DE" w:bidi="de-DE"/>
        </w:rPr>
        <w:t xml:space="preserve"> and </w:t>
      </w:r>
      <w:r>
        <w:rPr>
          <w:rFonts w:ascii="Times New Roman" w:eastAsia="Times New Roman" w:hAnsi="Times New Roman" w:cs="Times New Roman"/>
          <w:i/>
          <w:iCs/>
          <w:color w:val="000000"/>
          <w:spacing w:val="0"/>
          <w:w w:val="100"/>
          <w:position w:val="0"/>
          <w:shd w:val="clear" w:color="auto" w:fill="auto"/>
          <w:lang w:val="de-DE" w:eastAsia="de-DE" w:bidi="de-DE"/>
        </w:rPr>
        <w:t>Don Carlos.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degrees, however, Schiller’s historical publications, and, in a higher degree, the magnificent poems,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Götter Griechenlands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(1788)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Künstler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(1789), awakened Goethe’s respect, and in 1794, when the younger poet invited Goethe to become a collaborator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Horen, </w:t>
      </w:r>
      <w:r>
        <w:rPr>
          <w:rFonts w:ascii="Times New Roman" w:eastAsia="Times New Roman" w:hAnsi="Times New Roman" w:cs="Times New Roman"/>
          <w:color w:val="000000"/>
          <w:spacing w:val="0"/>
          <w:w w:val="100"/>
          <w:position w:val="0"/>
          <w:shd w:val="clear" w:color="auto" w:fill="auto"/>
          <w:lang w:val="en-US" w:eastAsia="en-US" w:bidi="en-US"/>
        </w:rPr>
        <w:t xml:space="preserve">the latter responded with alacrity. In a very few weeks the two men had become friends. In the meantime a holiday in Schiller’s Württemberg home had brought renewed health and vigour. An immediate outcome of the new friendship was Schiller’s admirable essays, published in the </w:t>
      </w:r>
      <w:r>
        <w:rPr>
          <w:rFonts w:ascii="Times New Roman" w:eastAsia="Times New Roman" w:hAnsi="Times New Roman" w:cs="Times New Roman"/>
          <w:i/>
          <w:iCs/>
          <w:color w:val="000000"/>
          <w:spacing w:val="0"/>
          <w:w w:val="100"/>
          <w:position w:val="0"/>
          <w:shd w:val="clear" w:color="auto" w:fill="auto"/>
          <w:lang w:val="en-US" w:eastAsia="en-US" w:bidi="en-US"/>
        </w:rPr>
        <w:t>Horen</w:t>
      </w:r>
      <w:r>
        <w:rPr>
          <w:rFonts w:ascii="Times New Roman" w:eastAsia="Times New Roman" w:hAnsi="Times New Roman" w:cs="Times New Roman"/>
          <w:color w:val="000000"/>
          <w:spacing w:val="0"/>
          <w:w w:val="100"/>
          <w:position w:val="0"/>
          <w:shd w:val="clear" w:color="auto" w:fill="auto"/>
          <w:lang w:val="en-US" w:eastAsia="en-US" w:bidi="en-US"/>
        </w:rPr>
        <w:t xml:space="preserve"> (1795-1796) and collected in 1800 under the title </w:t>
      </w:r>
      <w:r>
        <w:rPr>
          <w:rFonts w:ascii="Times New Roman" w:eastAsia="Times New Roman" w:hAnsi="Times New Roman" w:cs="Times New Roman"/>
          <w:i/>
          <w:iCs/>
          <w:color w:val="000000"/>
          <w:spacing w:val="0"/>
          <w:w w:val="100"/>
          <w:position w:val="0"/>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naive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sentimentalische </w:t>
      </w:r>
      <w:r>
        <w:rPr>
          <w:rFonts w:ascii="Times New Roman" w:eastAsia="Times New Roman" w:hAnsi="Times New Roman" w:cs="Times New Roman"/>
          <w:i/>
          <w:iCs/>
          <w:color w:val="000000"/>
          <w:spacing w:val="0"/>
          <w:w w:val="100"/>
          <w:position w:val="0"/>
          <w:shd w:val="clear" w:color="auto" w:fill="auto"/>
          <w:lang w:val="de-DE" w:eastAsia="de-DE" w:bidi="de-DE"/>
        </w:rPr>
        <w:t>Dichtung.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Here Schiller applied his aesthetic theories to that branch of art which was most peculiarly his own, the art of poetry; it is an attempt to classify literature in accordance with an a priori philosophic theory of “ ancient ” and “ modern,” “ classic ” and “ romantic,” “ naive ” and “ sentimental and it sprang from the need Schillcr himself felt of justifying his own “ sentimental ” and “ modern ” genius with the “ naive ” and “ classic ” tranquillity of Goethe’s. While Schiller’s standpoint was too essentially that of his time to lay claim to finality, it is, on the whole, the most concise statement we possess of the literary theory which lay behind the classical literature of Germany.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Schiller himself this was the bridge that led back from philosophy to poetry. Under Goethe’s stimulus he won fresh laurels in that domain of philosophical lyric which he had opened with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Künstler,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Das Ideal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und das Leben,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Macht des Gesanges, Wurde der Frauen,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and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Spaziergang,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he pro</w:t>
        <w:softHyphen/>
        <w:t xml:space="preserve">duced masterpieces of reflective poetry which have not their equal in German literature. These poems appeared in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Musenalmanach,</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new publication which Schiller began in 1796,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Horen,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had never met with the success it merited, coming to an end in 1797. In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Musenalmanach</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were also published the “ Xenien ” (1797), a collection of distichs by Goethe and Schiller, in which the two friends avenged themselves on the cavilling critics who were not in sympathy with them.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Almanach</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following year, 1798, was even more noteworthy, for it contained a number of Schiller’s most popular ballads,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Ring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Polykrates,”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Der Handschuh,”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Ritter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Toggenburg,”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Der Taucher,” “ Die Kraniche des Ibykus ” and “Der Gang nach dem Eisenhammer;” “Der Kampf mit dem Drachen”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following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1799,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and “Das Lied von der Glocke ”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1800. As a ballad poet, Schiller’s popularity has been hardly less great than as a dramatist; the bold and simple outline, the terse dramatic characterization appealed directly to the popular mind, which did not let itself be disturbed by the often artificial and rhetorical tone into which the poet falls. But the supreme importance of the last period of Schiller’s life lay in the series of master-dramas which he gave to the world between 1799 and 1804. Just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Don Carlos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had led him to the study of Dutch history, so now his occupation with the history of the Thirty Years’ War supplied him with the theme of his trilogy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Wallenstein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(1798-1799). The plan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Wallenstein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of long standing, and it was only towards the end, when Schiller realized the impossibility of saying all he had to say within five acts, that he decided to divide it into three parts, a descriptive prologue,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Wallensteins Lager,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two dramas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Piccolomini</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Wallensteins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Tod.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Without entirety break</w:t>
        <w:softHyphen/>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ing with the pseudo-classic method he had adopted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Don Carlos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two lovers, Max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Piccolomini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Thekla, </w:t>
      </w:r>
      <w:r>
        <w:rPr>
          <w:rFonts w:ascii="Times New Roman" w:eastAsia="Times New Roman" w:hAnsi="Times New Roman" w:cs="Times New Roman"/>
          <w:color w:val="000000"/>
          <w:spacing w:val="0"/>
          <w:w w:val="100"/>
          <w:position w:val="0"/>
          <w:sz w:val="19"/>
          <w:szCs w:val="19"/>
          <w:shd w:val="clear" w:color="auto" w:fill="auto"/>
          <w:lang w:val="en-US" w:eastAsia="en-US" w:bidi="en-US"/>
        </w:rPr>
        <w:t>are an obvious concession to the tradition of the French theatre—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Wallenstein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shows how much Schiller’s art had benefited by his study of Greek tragedy; the fatalism of his hero is a masterly application of an antique motive to a modern theme. His whole conception of life and character had deepened since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Don Carlos,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under the influence of Kant’s philosophy the drama became the embodiment of ethical problems that are essentially modern. The success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Wallenstein,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with which Schiller passed at once into the front rank of European dramatists, was so encouraging that the poet resolved to devote himself with redoubled ardour to dramatic poetry Towards the end of 1799 he took up his residence permanently in Weimar, not only to be near his friend, but also that he might have the advantage of visiting regularly the theatre of which Goethe was director.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Wallenstein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followed in 1800 by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Maria Stuart,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tragedy, which, in spite of its great popularity in and outside of Germany, was felt by the critics to follow too closely the methods of the lachrymose “ tragedy of common life ” to maintain a high position among Schiller’s works. It is a serious flaw in the play that the fate of the heroine is virtually decided before the curtain rises, and the poet is obliged to create by theatrical devices the semblance of a tragic conflict which, in reality, does not exist. A finer production in every way is Schiller’s “romantic tragedy,”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Die Jungfrau υon Orleans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(1801). The resplendent medieval colouring of the subject, the essentially heroic character of Joan of Arc, gave Schiller an admirable opportunity for the display of his rich imagination and rhetorical gifts; and by an ingenious alteration of the historical tradition, he was able to make the drama a vehicle for his own imperturbable moral optimism. In unity of style and in the high level of its dramatic diction,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Die Jungfrau von Orleαns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unsurpassed among Schiller’s works. Between this drama and its successor,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Braut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υon Messina,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Schiller translated and adapted to his classic ideals Shakespeare’s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Macbeth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(1801) and Gozzi’s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Turandot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(1802). With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Braut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von Messina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(1803) he experimented with a tragedy on purely Greek lines, this drama being as close an approximation to ancient tragedy as its medieval and Christian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milieu</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permitted of. If the experiment cannot be regarded as successful, the fault lies in the difficulty of reconciling the artificial conventions of the Greek theatre, the chorus and the oracle—here represented by dreams and superstitions—with the point of view of the poet’s own time. As far as the diction itself is concerned, the lyric outbursts of the chorus gave Schiller's genius an opportunity of which he was not slow to avail himself. In the poet’s last completed drama,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Wilhelm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Tell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(1804), he once more, as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Wallenstein,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chose a historical subject involving wide issues.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Wilhelm Tell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the drama of the Swiss people; its subject is less the personal fate of its hero than the struggle of a nation to free itself from tyranny. This is the reason for the epic breadth of the work, its picturesque and panoramic character. It also justifies the idealization of the hero, on the one hand, and, on the other, the introduction of episodes which have but little re</w:t>
        <w:softHyphen/>
        <w:t xml:space="preserve">lation to his personal fate, or even put his character in a directly unfavourable light.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Wilhelm Tell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an attempt to win for the German drama a new field, to widen the domain of dramatic poetry. Besides writing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Tell,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Schiller had found time in 1803 and 1804 to translate two French comedies by Picard, and to prepare a German version of Racine’s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Phèdre',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in the last months of his life he began a new tragedy,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Demetrius,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gave every promise of being another step forward in his poetic achievement. But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Demetrius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remains a fragment of hardly two acts.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Schiller died at Weimar on the 9th of May 1805. His last years were darkened by constant ill-health; and indeed it is marvellous that he was able to achieve so much. A visit to Leipzig in 1801, and to Berlin—where there was some prospect of his being invited to settle—in 1804, were the chief outward events of his later years. He was ennobled in 1802, and in 1804 the duke of Weimar, unwilling to lose him, doubled his meagre salary of 400 talers. Schiller’s art, with its broad, clear lines, its unambiguous moral issues, and its enthusiastic optimism, has appealed with</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