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position of the Danes in Schleswig after the cession was determined, so far as treaty rights are concerned, by two instruments —the Treaty of Vienna (October 30, 1864) and the Treaty of Prague (August 23, 1866). By Article XIX. of the former treaty subjects domiciled in the ceded territories had the right, within six years of the exchange of ratifications, of opting for the Danish nationality and transferring themselves, their families and their personal property to Denmark, while keeping their landed property in the duchies. The last paragraph of the Article ran: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droit d’indigénat, </w:t>
      </w:r>
      <w:r>
        <w:rPr>
          <w:rFonts w:ascii="Times New Roman" w:eastAsia="Times New Roman" w:hAnsi="Times New Roman" w:cs="Times New Roman"/>
          <w:color w:val="000000"/>
          <w:spacing w:val="0"/>
          <w:w w:val="100"/>
          <w:position w:val="0"/>
          <w:shd w:val="clear" w:color="auto" w:fill="auto"/>
          <w:lang w:val="fr-FR" w:eastAsia="fr-FR" w:bidi="fr-FR"/>
        </w:rPr>
        <w:t xml:space="preserve">tant dans le royaume de Danemark que dans les Duchés, est conservé à tous les individus qui le possèdent à l'époque de l’échange des ratifications du présent Traité.”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Article V. </w:t>
      </w:r>
      <w:r>
        <w:rPr>
          <w:rFonts w:ascii="Times New Roman" w:eastAsia="Times New Roman" w:hAnsi="Times New Roman" w:cs="Times New Roman"/>
          <w:color w:val="000000"/>
          <w:spacing w:val="0"/>
          <w:w w:val="100"/>
          <w:position w:val="0"/>
          <w:shd w:val="clear" w:color="auto" w:fill="auto"/>
          <w:lang w:val="en-US" w:eastAsia="en-US" w:bidi="en-US"/>
        </w:rPr>
        <w:t xml:space="preserve">of the Treaty of Prague Schleswig was ceded by Austria to Prussia with the reservation that “ the populations of the North of Schleswig shall be again united with Denmark in the event of their expressing a desire so to be by a vote freely exercised.” Taking advantage of the terms of these treaties, about 50,000 Danes from North Schleswig (out of a total population of some 150,000) opted for Denmark and migrated over the frontier, pending the </w:t>
      </w:r>
      <w:r>
        <w:rPr>
          <w:rFonts w:ascii="Times New Roman" w:eastAsia="Times New Roman" w:hAnsi="Times New Roman" w:cs="Times New Roman"/>
          <w:i/>
          <w:iCs/>
          <w:color w:val="000000"/>
          <w:spacing w:val="0"/>
          <w:w w:val="100"/>
          <w:position w:val="0"/>
          <w:shd w:val="clear" w:color="auto" w:fill="auto"/>
          <w:lang w:val="fr-FR" w:eastAsia="fr-FR" w:bidi="fr-FR"/>
        </w:rPr>
        <w:t>plébiscite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to restore their country to them. But the </w:t>
      </w:r>
      <w:r>
        <w:rPr>
          <w:rFonts w:ascii="Times New Roman" w:eastAsia="Times New Roman" w:hAnsi="Times New Roman" w:cs="Times New Roman"/>
          <w:i/>
          <w:iCs/>
          <w:color w:val="000000"/>
          <w:spacing w:val="0"/>
          <w:w w:val="100"/>
          <w:position w:val="0"/>
          <w:shd w:val="clear" w:color="auto" w:fill="auto"/>
          <w:lang w:val="en-US" w:eastAsia="en-US" w:bidi="en-US"/>
        </w:rPr>
        <w:t>plébiscite</w:t>
      </w:r>
      <w:r>
        <w:rPr>
          <w:rFonts w:ascii="Times New Roman" w:eastAsia="Times New Roman" w:hAnsi="Times New Roman" w:cs="Times New Roman"/>
          <w:color w:val="000000"/>
          <w:spacing w:val="0"/>
          <w:w w:val="100"/>
          <w:position w:val="0"/>
          <w:shd w:val="clear" w:color="auto" w:fill="auto"/>
          <w:lang w:val="en-US" w:eastAsia="en-US" w:bidi="en-US"/>
        </w:rPr>
        <w:t xml:space="preserve"> never came. Its inclusion in the treaty had been no more than a diplomatic device to save the face of the em- peror Napoleon III.; Prussia had from the first no intention of surrendering an inch of the territory she had conquered; the out</w:t>
        <w:softHyphen/>
        <w:t xml:space="preserve">come of the Franco-German War made it unnecessary for her even to pretend that she might do so; and by the Treaty of Vienna of October 11, 1878, the clause relating to the </w:t>
      </w:r>
      <w:r>
        <w:rPr>
          <w:rFonts w:ascii="Times New Roman" w:eastAsia="Times New Roman" w:hAnsi="Times New Roman" w:cs="Times New Roman"/>
          <w:i/>
          <w:iCs/>
          <w:color w:val="000000"/>
          <w:spacing w:val="0"/>
          <w:w w:val="100"/>
          <w:position w:val="0"/>
          <w:shd w:val="clear" w:color="auto" w:fill="auto"/>
          <w:lang w:val="fr-FR" w:eastAsia="fr-FR" w:bidi="fr-FR"/>
        </w:rPr>
        <w:t>plébiscite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formally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abrogated with the assent of Austria.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the Danish “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 xml:space="preserve">disappointed of their hopes, had begun to stream back over the frontier into Schleswig. By doing so they lost, under the Danish law, their rights as Danish citizens, without acquiring those of Prussian subjects; and this disability was transmitted to their children. By Article XIX. of the Treaty of 1864, indeed, they should have been secured the rights of “ indigenacy,” which, while falling short of complete citizenship, implied, according to Danish law, all the essential guarantees for civil liberty. But in German law the right of </w:t>
      </w:r>
      <w:r>
        <w:rPr>
          <w:rFonts w:ascii="Times New Roman" w:eastAsia="Times New Roman" w:hAnsi="Times New Roman" w:cs="Times New Roman"/>
          <w:i/>
          <w:iCs/>
          <w:color w:val="000000"/>
          <w:spacing w:val="0"/>
          <w:w w:val="100"/>
          <w:position w:val="0"/>
          <w:shd w:val="clear" w:color="auto" w:fill="auto"/>
          <w:lang w:val="en-US" w:eastAsia="en-US" w:bidi="en-US"/>
        </w:rPr>
        <w:t>Indigenat</w:t>
      </w:r>
      <w:r>
        <w:rPr>
          <w:rFonts w:ascii="Times New Roman" w:eastAsia="Times New Roman" w:hAnsi="Times New Roman" w:cs="Times New Roman"/>
          <w:color w:val="000000"/>
          <w:spacing w:val="0"/>
          <w:w w:val="100"/>
          <w:position w:val="0"/>
          <w:shd w:val="clear" w:color="auto" w:fill="auto"/>
          <w:lang w:val="en-US" w:eastAsia="en-US" w:bidi="en-US"/>
        </w:rPr>
        <w:t xml:space="preserve"> is not clearly differentiated from the </w:t>
      </w:r>
      <w:r>
        <w:rPr>
          <w:rFonts w:ascii="Times New Roman" w:eastAsia="Times New Roman" w:hAnsi="Times New Roman" w:cs="Times New Roman"/>
          <w:i/>
          <w:iCs/>
          <w:color w:val="000000"/>
          <w:spacing w:val="0"/>
          <w:w w:val="100"/>
          <w:position w:val="0"/>
          <w:shd w:val="clear" w:color="auto" w:fill="auto"/>
          <w:lang w:val="en-US" w:eastAsia="en-US" w:bidi="en-US"/>
        </w:rPr>
        <w:t>status</w:t>
      </w:r>
      <w:r>
        <w:rPr>
          <w:rFonts w:ascii="Times New Roman" w:eastAsia="Times New Roman" w:hAnsi="Times New Roman" w:cs="Times New Roman"/>
          <w:color w:val="000000"/>
          <w:spacing w:val="0"/>
          <w:w w:val="100"/>
          <w:position w:val="0"/>
          <w:shd w:val="clear" w:color="auto" w:fill="auto"/>
          <w:lang w:val="en-US" w:eastAsia="en-US" w:bidi="en-US"/>
        </w:rPr>
        <w:t xml:space="preserve"> of a subject; and the supreme court at Kiel decided in several cases that those who had opted for Danish nationality had forfeited their rights under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Indigenat </w:t>
      </w:r>
      <w:r>
        <w:rPr>
          <w:rFonts w:ascii="Times New Roman" w:eastAsia="Times New Roman" w:hAnsi="Times New Roman" w:cs="Times New Roman"/>
          <w:color w:val="000000"/>
          <w:spacing w:val="0"/>
          <w:w w:val="100"/>
          <w:position w:val="0"/>
          <w:shd w:val="clear" w:color="auto" w:fill="auto"/>
          <w:lang w:val="en-US" w:eastAsia="en-US" w:bidi="en-US"/>
        </w:rPr>
        <w:t xml:space="preserve">paragraph of the Treaty of Vienna. There was thus created in the frontier districts a large and increasing class of people who dwelt in a sort of political limbo, having lost their Danish citizenship through ceasing to be domiciled in Denmark, and unable to acquire Prussian citizenship because they had failed to apply for it within the six years stipulated in the Treaty of 1864. Their exclusion from the rights of Prussian subjects was due, however, to causes other than the letter of the treaty. The Danes, in spite of every discouragement, never ceased to strive for the preservation and extension of their national traditions and language; the Germans were equally bent on effectually absorbing these recalcitrant “ Teutons ” into the general life of the German empire; and to this end the uncertain </w:t>
      </w:r>
      <w:r>
        <w:rPr>
          <w:rFonts w:ascii="Times New Roman" w:eastAsia="Times New Roman" w:hAnsi="Times New Roman" w:cs="Times New Roman"/>
          <w:i/>
          <w:iCs/>
          <w:color w:val="000000"/>
          <w:spacing w:val="0"/>
          <w:w w:val="100"/>
          <w:position w:val="0"/>
          <w:shd w:val="clear" w:color="auto" w:fill="auto"/>
          <w:lang w:val="en-US" w:eastAsia="en-US" w:bidi="en-US"/>
        </w:rPr>
        <w:t>status</w:t>
      </w:r>
      <w:r>
        <w:rPr>
          <w:rFonts w:ascii="Times New Roman" w:eastAsia="Times New Roman" w:hAnsi="Times New Roman" w:cs="Times New Roman"/>
          <w:color w:val="000000"/>
          <w:spacing w:val="0"/>
          <w:w w:val="100"/>
          <w:position w:val="0"/>
          <w:shd w:val="clear" w:color="auto" w:fill="auto"/>
          <w:lang w:val="en-US" w:eastAsia="en-US" w:bidi="en-US"/>
        </w:rPr>
        <w:t xml:space="preserve"> of the Danish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was a useful means. Danish agitators of German nationality could not be touched so long as they were careful to keep within the limits of the law; pro-Danish newspapers owned and staffed by German subjects enjoyed immunity in accord</w:t>
        <w:softHyphen/>
        <w:t xml:space="preserve">ance with the constitution, which guarantees the liberty of the press. The case of the “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 xml:space="preserve">” was far other. These unfortunates, who numbered a large proportion of the population, were subject to domiciliary visits, and to arbitrary perquisitions, arrest anu expulsion. When the pro-Danish newspapers, after the expulsion of several “ </w:t>
      </w:r>
      <w:r>
        <w:rPr>
          <w:rFonts w:ascii="Times New Roman" w:eastAsia="Times New Roman" w:hAnsi="Times New Roman" w:cs="Times New Roman"/>
          <w:color w:val="000000"/>
          <w:spacing w:val="0"/>
          <w:w w:val="100"/>
          <w:position w:val="0"/>
          <w:shd w:val="clear" w:color="auto" w:fill="auto"/>
          <w:lang w:val="fr-FR" w:eastAsia="fr-FR" w:bidi="fr-FR"/>
        </w:rPr>
        <w:t>optant"</w:t>
      </w:r>
      <w:r>
        <w:rPr>
          <w:rFonts w:ascii="Times New Roman" w:eastAsia="Times New Roman" w:hAnsi="Times New Roman" w:cs="Times New Roman"/>
          <w:color w:val="000000"/>
          <w:spacing w:val="0"/>
          <w:w w:val="100"/>
          <w:position w:val="0"/>
          <w:shd w:val="clear" w:color="auto" w:fill="auto"/>
          <w:lang w:val="en-US" w:eastAsia="en-US" w:bidi="en-US"/>
        </w:rPr>
        <w:t xml:space="preserve"> editors, were careful to appoint none  but German subjects, the vengeance of the authorities fell upon “ </w:t>
      </w:r>
      <w:r>
        <w:rPr>
          <w:rFonts w:ascii="Times New Roman" w:eastAsia="Times New Roman" w:hAnsi="Times New Roman" w:cs="Times New Roman"/>
          <w:color w:val="000000"/>
          <w:spacing w:val="0"/>
          <w:w w:val="100"/>
          <w:position w:val="0"/>
          <w:shd w:val="clear" w:color="auto" w:fill="auto"/>
          <w:lang w:val="fr-FR" w:eastAsia="fr-FR" w:bidi="fr-FR"/>
        </w:rPr>
        <w:t xml:space="preserve">optant </w:t>
      </w:r>
      <w:r>
        <w:rPr>
          <w:rFonts w:ascii="Times New Roman" w:eastAsia="Times New Roman" w:hAnsi="Times New Roman" w:cs="Times New Roman"/>
          <w:color w:val="000000"/>
          <w:spacing w:val="0"/>
          <w:w w:val="100"/>
          <w:position w:val="0"/>
          <w:shd w:val="clear" w:color="auto" w:fill="auto"/>
          <w:lang w:val="en-US" w:eastAsia="en-US" w:bidi="en-US"/>
        </w:rPr>
        <w:t xml:space="preserve">’’ type-setters, printers and printers’ devils. The Prussian police, indeed, developed an almost superhuman capacity for dc- tecting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 xml:space="preserve">and since these pariahs were mingled indistinguishably with the mass of the people, no household and no business was safe from official inquisition. One instance out of many may serve to illustrate the type of offence that served as excuse for this systematic official persecution. On the 27th of April 1896 the second volume for 1895 of the </w:t>
      </w:r>
      <w:r>
        <w:rPr>
          <w:rFonts w:ascii="Times New Roman" w:eastAsia="Times New Roman" w:hAnsi="Times New Roman" w:cs="Times New Roman"/>
          <w:i/>
          <w:iCs/>
          <w:color w:val="000000"/>
          <w:spacing w:val="0"/>
          <w:w w:val="100"/>
          <w:position w:val="0"/>
          <w:shd w:val="clear" w:color="auto" w:fill="auto"/>
          <w:lang w:val="en-US" w:eastAsia="en-US" w:bidi="en-US"/>
        </w:rPr>
        <w:t>Sönderjyske Aarböger</w:t>
      </w:r>
      <w:r>
        <w:rPr>
          <w:rFonts w:ascii="Times New Roman" w:eastAsia="Times New Roman" w:hAnsi="Times New Roman" w:cs="Times New Roman"/>
          <w:color w:val="000000"/>
          <w:spacing w:val="0"/>
          <w:w w:val="100"/>
          <w:position w:val="0"/>
          <w:shd w:val="clear" w:color="auto" w:fill="auto"/>
          <w:lang w:val="en-US" w:eastAsia="en-US" w:bidi="en-US"/>
        </w:rPr>
        <w:t xml:space="preserve"> was confiscated for having used the historic term </w:t>
      </w:r>
      <w:r>
        <w:rPr>
          <w:rFonts w:ascii="Times New Roman" w:eastAsia="Times New Roman" w:hAnsi="Times New Roman" w:cs="Times New Roman"/>
          <w:i/>
          <w:iCs/>
          <w:color w:val="000000"/>
          <w:spacing w:val="0"/>
          <w:w w:val="100"/>
          <w:position w:val="0"/>
          <w:shd w:val="clear" w:color="auto" w:fill="auto"/>
          <w:lang w:val="en-US" w:eastAsia="en-US" w:bidi="en-US"/>
        </w:rPr>
        <w:t>Sönderjylland</w:t>
      </w:r>
      <w:r>
        <w:rPr>
          <w:rFonts w:ascii="Times New Roman" w:eastAsia="Times New Roman" w:hAnsi="Times New Roman" w:cs="Times New Roman"/>
          <w:color w:val="000000"/>
          <w:spacing w:val="0"/>
          <w:w w:val="100"/>
          <w:position w:val="0"/>
          <w:shd w:val="clear" w:color="auto" w:fill="auto"/>
          <w:lang w:val="en-US" w:eastAsia="en-US" w:bidi="en-US"/>
        </w:rPr>
        <w:t xml:space="preserve"> (South Jutland) for Schleswig. To add to the misery, the Danish government refused to allow the Danish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 xml:space="preserve">expelled by Prussia to settle in Denmark, though this rule was modified by the Danish Nationality Law of 1898 in favour of the children of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 xml:space="preserve">born after the passing of the law. It was not till the signature of the treaty between Prussia and Denmark on the 11th of January 1907 that these intolerable conditions were ended. By this treaty the German government undertook to allow all children born of Danish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 xml:space="preserve">before the passing of the new Danish Nationality Law of 1898 to acquire Prussian nationality on the usual conditions and on their own application. This provision was not to affect the ordinary legal rights of expulsion as exercised by either power, but the Danish government undertook not to refuse to the children of Schleswig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who should not seek to acquire or who could not legally acquire Prussian nationality permission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reside in Denmark. The provisions of the treaty apply not only to the children of Schleswig </w:t>
      </w:r>
      <w:r>
        <w:rPr>
          <w:rFonts w:ascii="Times New Roman" w:eastAsia="Times New Roman" w:hAnsi="Times New Roman" w:cs="Times New Roman"/>
          <w:color w:val="000000"/>
          <w:spacing w:val="0"/>
          <w:w w:val="100"/>
          <w:position w:val="0"/>
          <w:shd w:val="clear" w:color="auto" w:fill="auto"/>
          <w:lang w:val="fr-FR" w:eastAsia="fr-FR" w:bidi="fr-FR"/>
        </w:rPr>
        <w:t xml:space="preserve">optants, </w:t>
      </w:r>
      <w:r>
        <w:rPr>
          <w:rFonts w:ascii="Times New Roman" w:eastAsia="Times New Roman" w:hAnsi="Times New Roman" w:cs="Times New Roman"/>
          <w:color w:val="000000"/>
          <w:spacing w:val="0"/>
          <w:w w:val="100"/>
          <w:position w:val="0"/>
          <w:shd w:val="clear" w:color="auto" w:fill="auto"/>
          <w:lang w:val="en-US" w:eastAsia="en-US" w:bidi="en-US"/>
        </w:rPr>
        <w:t>but to their direct descendants in all degrees.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adjustment, brought about by the friendly intercourse between the courts of Berlin and Copenhagen, seemed to close the last phase of the Schleswig question. Yet, so far from allaying, it apparently only served to embitter the inter-racial feud. The “ autochthonous Germans of the Northern Marches" regarded the new treaty as a betrayal, and refused “ to give the kiss of peace ’’ to their hereditary enemies. For forty years Germanism, backed by all the weight of the empire and imposed with all the weapons of official persecution, had barely held its own in North Schleswig; in spite of an enormous emigration, in 1905, of the 148,000 inhabitants of North Schleswig 139,000 spoke Danish, while of the German-speaking immigrants it was found that more than a third spoke Danish in the first generation; and this in spite of the fact that, from 1864 onward, German had gradually been substituted for Danish in the churches, the schools, and even in the playground. But the scattered outposts of Germanism could hardly be expected to acquiesce without a struggle in a situation that threatened them with social and economic extinction. Forty years of dominance, secured by official favour, had filled them with a double measure of aggressive pride of race, and the question of the rival nationalities in Schleswig, like that in Poland, remained a source of trouble and weakness within the frontiers of the German empire.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—The literature on the subject is vast. From the German point of view the most comprehensive treatment is in C. Jansen and K. Samwer, </w:t>
      </w:r>
      <w:r>
        <w:rPr>
          <w:rFonts w:ascii="Times New Roman" w:eastAsia="Times New Roman" w:hAnsi="Times New Roman" w:cs="Times New Roman"/>
          <w:i/>
          <w:iCs/>
          <w:color w:val="000000"/>
          <w:spacing w:val="0"/>
          <w:w w:val="100"/>
          <w:position w:val="0"/>
          <w:shd w:val="clear" w:color="auto" w:fill="auto"/>
          <w:lang w:val="de-DE" w:eastAsia="de-DE" w:bidi="de-DE"/>
        </w:rPr>
        <w:t>Schleswig-Holsteins Befreiung</w:t>
      </w:r>
      <w:r>
        <w:rPr>
          <w:rFonts w:ascii="Times New Roman" w:eastAsia="Times New Roman" w:hAnsi="Times New Roman" w:cs="Times New Roman"/>
          <w:color w:val="000000"/>
          <w:spacing w:val="0"/>
          <w:w w:val="100"/>
          <w:position w:val="0"/>
          <w:shd w:val="clear" w:color="auto" w:fill="auto"/>
          <w:lang w:val="de-DE" w:eastAsia="de-DE" w:bidi="de-DE"/>
        </w:rPr>
        <w:t xml:space="preserve"> (Wiesbaden, </w:t>
      </w:r>
      <w:r>
        <w:rPr>
          <w:rFonts w:ascii="Times New Roman" w:eastAsia="Times New Roman" w:hAnsi="Times New Roman" w:cs="Times New Roman"/>
          <w:color w:val="000000"/>
          <w:spacing w:val="0"/>
          <w:w w:val="100"/>
          <w:position w:val="0"/>
          <w:shd w:val="clear" w:color="auto" w:fill="auto"/>
          <w:lang w:val="en-US" w:eastAsia="en-US" w:bidi="en-US"/>
        </w:rPr>
        <w:t xml:space="preserve">1897) ; see also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C. L. von Sybel,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Foundation of the German Empire </w:t>
      </w:r>
      <w:r>
        <w:rPr>
          <w:rFonts w:ascii="Times New Roman" w:eastAsia="Times New Roman" w:hAnsi="Times New Roman" w:cs="Times New Roman"/>
          <w:color w:val="000000"/>
          <w:spacing w:val="0"/>
          <w:w w:val="100"/>
          <w:position w:val="0"/>
          <w:shd w:val="clear" w:color="auto" w:fill="auto"/>
          <w:lang w:val="en-US" w:eastAsia="en-US" w:bidi="en-US"/>
        </w:rPr>
        <w:t xml:space="preserve">(Eng. trans., New York, 1890-1891); Bismarck’s </w:t>
      </w:r>
      <w:r>
        <w:rPr>
          <w:rFonts w:ascii="Times New Roman" w:eastAsia="Times New Roman" w:hAnsi="Times New Roman" w:cs="Times New Roman"/>
          <w:i/>
          <w:iCs/>
          <w:color w:val="000000"/>
          <w:spacing w:val="0"/>
          <w:w w:val="100"/>
          <w:position w:val="0"/>
          <w:shd w:val="clear" w:color="auto" w:fill="auto"/>
          <w:lang w:val="en-US" w:eastAsia="en-US" w:bidi="en-US"/>
        </w:rPr>
        <w:t>Reflections and Reminiscences,</w:t>
      </w:r>
      <w:r>
        <w:rPr>
          <w:rFonts w:ascii="Times New Roman" w:eastAsia="Times New Roman" w:hAnsi="Times New Roman" w:cs="Times New Roman"/>
          <w:color w:val="000000"/>
          <w:spacing w:val="0"/>
          <w:w w:val="100"/>
          <w:position w:val="0"/>
          <w:shd w:val="clear" w:color="auto" w:fill="auto"/>
          <w:lang w:val="en-US" w:eastAsia="en-US" w:bidi="en-US"/>
        </w:rPr>
        <w:t xml:space="preserve"> and L. Hahn, </w:t>
      </w:r>
      <w:r>
        <w:rPr>
          <w:rFonts w:ascii="Times New Roman" w:eastAsia="Times New Roman" w:hAnsi="Times New Roman" w:cs="Times New Roman"/>
          <w:i/>
          <w:iCs/>
          <w:color w:val="000000"/>
          <w:spacing w:val="0"/>
          <w:w w:val="100"/>
          <w:position w:val="0"/>
          <w:shd w:val="clear" w:color="auto" w:fill="auto"/>
          <w:lang w:val="en-US" w:eastAsia="en-US" w:bidi="en-US"/>
        </w:rPr>
        <w:t>Bismarck</w:t>
      </w:r>
      <w:r>
        <w:rPr>
          <w:rFonts w:ascii="Times New Roman" w:eastAsia="Times New Roman" w:hAnsi="Times New Roman" w:cs="Times New Roman"/>
          <w:color w:val="000000"/>
          <w:spacing w:val="0"/>
          <w:w w:val="100"/>
          <w:position w:val="0"/>
          <w:shd w:val="clear" w:color="auto" w:fill="auto"/>
          <w:lang w:val="en-US" w:eastAsia="en-US" w:bidi="en-US"/>
        </w:rPr>
        <w:t xml:space="preserve"> (5 vols., 1878-1891). The Danish point of view is ably and moderately presented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Question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Slesvig,</w:t>
      </w:r>
      <w:r>
        <w:rPr>
          <w:rFonts w:ascii="Times New Roman" w:eastAsia="Times New Roman" w:hAnsi="Times New Roman" w:cs="Times New Roman"/>
          <w:color w:val="000000"/>
          <w:spacing w:val="0"/>
          <w:w w:val="100"/>
          <w:position w:val="0"/>
          <w:shd w:val="clear" w:color="auto" w:fill="auto"/>
          <w:lang w:val="en-US" w:eastAsia="en-US" w:bidi="en-US"/>
        </w:rPr>
        <w:t xml:space="preserve"> a collection of essays by various writers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de Jessen </w:t>
      </w:r>
      <w:r>
        <w:rPr>
          <w:rFonts w:ascii="Times New Roman" w:eastAsia="Times New Roman" w:hAnsi="Times New Roman" w:cs="Times New Roman"/>
          <w:color w:val="000000"/>
          <w:spacing w:val="0"/>
          <w:w w:val="100"/>
          <w:position w:val="0"/>
          <w:shd w:val="clear" w:color="auto" w:fill="auto"/>
          <w:lang w:val="en-US" w:eastAsia="en-US" w:bidi="en-US"/>
        </w:rPr>
        <w:t>(Copenhagen, 1906), with maps and documents. (W.Á. P.)</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SCHLETTSTADT, a town of Germany, in the imperial province of Alsace-Lorraine, on the Ill; 26 m. 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railway to Basel. Pop. (1905) 9700. It possesses two fine Roman Catholic churches, a Protestant church, numerous remains of its old walls and some quaint houses of the 15th and 16th centuries. It has a theatre, a municipal library, a gymnasium, and other educational establishments. The Roman Catholic churches are the cathedral church of St George, a fine Gothic building founded in the 13th century, and the church of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Fides,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dating from the 11th century. Its industries comprise wire-drawing, tanning and saw-milling, and there is a considerable trade in wine, fruit and other agricultural produce.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Schlettstadt is a place of very early origin. It was a royal residence in Carolingian times and became a free town of the Empire in the 13th century. In the 15th century it was the seat of a celebrated academy, founded by the humanist Rodolphus Agricola, which contributed not a little to the revival of learning in this part of Germany; Erasmus of Rotterdam was one of its students. In 1634 the town came into the possession of France, and it was afterwards fortified by Vauban. It offered little resistance, however, to the Germans in 1870, and the fortifications have since been razed. The Hoh-Königsburg, a great castle standing at an elevation of 2475 ft., was presented to the emperor William II. by the town of Schlettstadt in 1899, and was com</w:t>
        <w:softHyphen/>
        <w:t>pletely restored in 1908. The site is first mentioned as bearing a castle in the 8th century.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Naumann,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Eroberung von </w:t>
      </w:r>
      <w:r>
        <w:rPr>
          <w:rFonts w:ascii="Times New Roman" w:eastAsia="Times New Roman" w:hAnsi="Times New Roman" w:cs="Times New Roman"/>
          <w:i/>
          <w:iCs/>
          <w:color w:val="000000"/>
          <w:spacing w:val="0"/>
          <w:w w:val="100"/>
          <w:position w:val="0"/>
          <w:shd w:val="clear" w:color="auto" w:fill="auto"/>
          <w:lang w:val="en-US" w:eastAsia="en-US" w:bidi="en-US"/>
        </w:rPr>
        <w:t>Schlettstadt</w:t>
      </w:r>
      <w:r>
        <w:rPr>
          <w:rFonts w:ascii="Times New Roman" w:eastAsia="Times New Roman" w:hAnsi="Times New Roman" w:cs="Times New Roman"/>
          <w:color w:val="000000"/>
          <w:spacing w:val="0"/>
          <w:w w:val="100"/>
          <w:position w:val="0"/>
          <w:shd w:val="clear" w:color="auto" w:fill="auto"/>
          <w:lang w:val="en-US" w:eastAsia="en-US" w:bidi="en-US"/>
        </w:rPr>
        <w:t xml:space="preserve"> (Berlin, 1876); and J. Gény,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Reichstadt </w:t>
      </w:r>
      <w:r>
        <w:rPr>
          <w:rFonts w:ascii="Times New Roman" w:eastAsia="Times New Roman" w:hAnsi="Times New Roman" w:cs="Times New Roman"/>
          <w:i/>
          <w:iCs/>
          <w:color w:val="000000"/>
          <w:spacing w:val="0"/>
          <w:w w:val="100"/>
          <w:position w:val="0"/>
          <w:shd w:val="clear" w:color="auto" w:fill="auto"/>
          <w:lang w:val="en-US" w:eastAsia="en-US" w:bidi="en-US"/>
        </w:rPr>
        <w:t>Schlettstadt 1490-1536</w:t>
      </w:r>
      <w:r>
        <w:rPr>
          <w:rFonts w:ascii="Times New Roman" w:eastAsia="Times New Roman" w:hAnsi="Times New Roman" w:cs="Times New Roman"/>
          <w:color w:val="000000"/>
          <w:spacing w:val="0"/>
          <w:w w:val="100"/>
          <w:position w:val="0"/>
          <w:shd w:val="clear" w:color="auto" w:fill="auto"/>
          <w:lang w:val="en-US" w:eastAsia="en-US" w:bidi="en-US"/>
        </w:rPr>
        <w:t xml:space="preserve"> (Freiburg i. B. 1900).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SCHLEY, WINFIELD SCOTT (1839-1911), American naval officer, was born at Richfields, near Frederick, Maryland, on the 9th of October 1839. He graduated at the United States Naval Academy in i860, and during the Civil War was in active service as a lieutenant until July 1863. In 1867-1869 he was an instructor in the U.S. Naval Academy. He took part in Rear- Admiral John Rodgers’s expedition to Korea in 1871, and was adjutant of the American land forces in the attack on the Korean forts on Salce river on the 10th and 11th of June. In 1872-1875 he was head of the department of modern languages in the U.S. Naval Academy. He was promoted commander in June 1874; in 1876-1879 commanded the “ Essex,” most of the time in the South Atlantic, and then until October 1883 was inspector of the second lighthouse district. In February 1884, after the failure in 1883 of the second expedition (under Lieut. E. A. Garlington) for the relief of the Lady Franklin Bay Expedition commanded by Lieut. A. W. Greely, Schley was appointed to command the third Greely relief expedition; and near Cape Sabine on the 22nd of June rescued Greely and six (of his twenty-four) com</w:t>
        <w:softHyphen/>
        <w:t>panions. He was chief of the bureau of equipment and recruiting</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