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tendency. In order to see the difference in this respect between the schools we have only to compare the peaceful and fortunate life of William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Champeaux </w:t>
      </w:r>
      <w:r>
        <w:rPr>
          <w:rFonts w:ascii="Times New Roman" w:eastAsia="Times New Roman" w:hAnsi="Times New Roman" w:cs="Times New Roman"/>
          <w:color w:val="000000"/>
          <w:spacing w:val="0"/>
          <w:w w:val="100"/>
          <w:position w:val="0"/>
          <w:sz w:val="19"/>
          <w:szCs w:val="19"/>
          <w:shd w:val="clear" w:color="auto" w:fill="auto"/>
          <w:lang w:val="en-US" w:eastAsia="en-US" w:bidi="en-US"/>
        </w:rPr>
        <w:t>(who enjoyed the friendship of</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St Bernard) with the agitated and persecuted existence of Roscellinus and, in a somewhat less degree, of Abelard. But now the greater boldness of the dialecticians awakened a spirit of general distrust in the exercise of reason on sacred subjects, and we find</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even a Realist like Gilbert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 Porrée arraigned by Bernard and his friends before a general council on a charge of heresy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Rheims, </w:t>
      </w:r>
      <w:r>
        <w:rPr>
          <w:rFonts w:ascii="Times New Roman" w:eastAsia="Times New Roman" w:hAnsi="Times New Roman" w:cs="Times New Roman"/>
          <w:color w:val="000000"/>
          <w:spacing w:val="0"/>
          <w:w w:val="100"/>
          <w:position w:val="0"/>
          <w:sz w:val="19"/>
          <w:szCs w:val="19"/>
          <w:shd w:val="clear" w:color="auto" w:fill="auto"/>
          <w:lang w:val="en-US" w:eastAsia="en-US" w:bidi="en-US"/>
        </w:rPr>
        <w:t>1148). Though Gilbert was acquitted, the fact of his being brought to trial illustrates the growing spirit of suspicion. Those heresy-hunts show us the worst side of St Bernard, yet they are in a way just the obverse of his deep mystical piety. The same attitude is maintained by the mystical</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school of St Victor. Hugo of St Victor (1097-1141) declares that “ the uncorrupted truth of things cannot be discovered by reasoning.” The perils of dialectic are manifold, especially in the overbold spirit it engenders.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Nevertheless Hugo, by the composition of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Summa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scntenti-arum,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endeavoured to give a methodical or rational presentation of the content of faith, and was thus the first of the so-called Summists. Richard of St Victor, prior of the monastery from 1162 to 1173, is still more absorbed in mysticism, and his successor Walter loses his temper altogether in abuse of the dialecticians and the Summists alike. The Summists have as much to say against the existence of God as for it, and the dialecticians, having gone to school to the pagans, have forgotten over Aristotle the way of salvation. Abelard, Peter Lombard, Gilbert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la Porrée and Peter of Poitiers be calls the “ four labyrinths of France.”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This anger and contempt may have been partly justified by the discreditable state into which the study of logic had fallen.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speculative impulse was exhausted which marks the end of the 11th and the first half of the 12th century —a period more original and more interesting in many ways than the great age of Scholasticism in the 13th century. By the middle of the century, logical studies had lost to a great extent their real interest and application, and had degenerated into trivial displays of ingenuity. On the other hand, the Summists@@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occupied themselves merely in the systematizing of authorities. The mystics held aloof from both, and devoted themselves to the practical work of preaching and edification. The intellect of the age thus no longer exhibited itself as a unity. And it is significant of this that the ablest and most cultured representative of the second half of the century was rather an historian of opinion than himself a philosopher or a theologian. John of Salisbury (Johannes Sarisberiensis) was educated in France in the years 1136-1148. The autobiographical account of these years contained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Metalogicus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of the utmost value as a picture of the schools of the time; it is also one of the historian’s chief sources as a record of the many-coloured logical views of the period. John recoiled from the idle casuistry which occupied his own logical contemporaries; and, mindful probably of their aimless ingenuity, he adds the ■caution that dialectic, valuable and necessary as it is, is “ like the sword of Hercules in a pigmy’s hand ” unless there be added to it the accoutrement of the other sciences. Catholic in spirit rather than dogmatic, John ranks himself at times among the Academics, “ since, in those things about which a wise man may doubt, I depart not from their footsteps.” It is not fitting to subtilize overmuch, and in the end John of Salisbury’s solution is the practical one, his charitable spirit pointing him in particular to that love which is the fulfilling of the law.</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period of Scholasticism being thus at an end, there is an interval of nearly half a century without any noteworthy philosophical productions. The cause of the new development of Scholasticism in the 13th century was the acquisition for the first time of the complete works of Aristotle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Classics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Arabian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The doctrines and the works of Aristotle had been transmitted by the Nestorians to the Arabs, and among those kept alive by a succession of philosophers, first in the East and afterwards in the West. The chief of these, at least so far as regards the influence which they exerted on medieval philosophy, were Avicenna, Avem- pace and Averroes. The unification by the last-mentioned of Aristotle’s active intellect in all men, and his consequent denial of individual immortality are well known. The universal human intellect is made by him to proceed from the divine by a series of Neo</w:t>
        <w:softHyphen/>
        <w:t xml:space="preserve">platonic emanations. In the course of the 12th century the writings of these men were introduced into France by the Jews of Andalusia, of Marseilles and Montpellier. “ These writings contained,” says Hauréau, “ the text of the </w:t>
      </w:r>
      <w:r>
        <w:rPr>
          <w:rFonts w:ascii="Times New Roman" w:eastAsia="Times New Roman" w:hAnsi="Times New Roman" w:cs="Times New Roman"/>
          <w:i/>
          <w:iCs/>
          <w:color w:val="000000"/>
          <w:spacing w:val="0"/>
          <w:w w:val="100"/>
          <w:position w:val="0"/>
          <w:shd w:val="clear" w:color="auto" w:fill="auto"/>
          <w:lang w:val="en-US" w:eastAsia="en-US" w:bidi="en-US"/>
        </w:rPr>
        <w:t>Organon,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Metaphysics,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Ethics, </w:t>
      </w:r>
      <w:r>
        <w:rPr>
          <w:rFonts w:ascii="Times New Roman" w:eastAsia="Times New Roman" w:hAnsi="Times New Roman" w:cs="Times New Roman"/>
          <w:color w:val="000000"/>
          <w:spacing w:val="0"/>
          <w:w w:val="100"/>
          <w:position w:val="0"/>
          <w:shd w:val="clear" w:color="auto" w:fill="auto"/>
          <w:lang w:val="en-US" w:eastAsia="en-US" w:bidi="en-US"/>
        </w:rPr>
        <w:t>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De anima,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Parva </w:t>
      </w:r>
      <w:r>
        <w:rPr>
          <w:rFonts w:ascii="Times New Roman" w:eastAsia="Times New Roman" w:hAnsi="Times New Roman" w:cs="Times New Roman"/>
          <w:i/>
          <w:iCs/>
          <w:color w:val="000000"/>
          <w:spacing w:val="0"/>
          <w:w w:val="100"/>
          <w:position w:val="0"/>
          <w:shd w:val="clear" w:color="auto" w:fill="auto"/>
          <w:lang w:val="en-US" w:eastAsia="en-US" w:bidi="en-US"/>
        </w:rPr>
        <w:t>naturalia</w:t>
      </w:r>
      <w:r>
        <w:rPr>
          <w:rFonts w:ascii="Times New Roman" w:eastAsia="Times New Roman" w:hAnsi="Times New Roman" w:cs="Times New Roman"/>
          <w:color w:val="000000"/>
          <w:spacing w:val="0"/>
          <w:w w:val="100"/>
          <w:position w:val="0"/>
          <w:shd w:val="clear" w:color="auto" w:fill="auto"/>
          <w:lang w:val="en-US" w:eastAsia="en-US" w:bidi="en-US"/>
        </w:rPr>
        <w:t xml:space="preserve"> and a large number of other treatises of Aristotle, accompanied by continuous commentaries. There arrived besides by the same channel the glosses of Theophrastus, of Simplicius, of Alexander of Aphrodisias, of Philoponus, annotated in the same sense by the same hands. This was the rich but danger- ous present made by the Mussulman school to the Christian ” (i. 382). To these must be added the Neoplatonically inspired </w:t>
      </w:r>
      <w:r>
        <w:rPr>
          <w:rFonts w:ascii="Times New Roman" w:eastAsia="Times New Roman" w:hAnsi="Times New Roman" w:cs="Times New Roman"/>
          <w:i/>
          <w:iCs/>
          <w:color w:val="000000"/>
          <w:spacing w:val="0"/>
          <w:w w:val="100"/>
          <w:position w:val="0"/>
          <w:shd w:val="clear" w:color="auto" w:fill="auto"/>
          <w:lang w:val="en-US" w:eastAsia="en-US" w:bidi="en-US"/>
        </w:rPr>
        <w:t>Fons Vitae</w:t>
      </w:r>
      <w:r>
        <w:rPr>
          <w:rFonts w:ascii="Times New Roman" w:eastAsia="Times New Roman" w:hAnsi="Times New Roman" w:cs="Times New Roman"/>
          <w:color w:val="000000"/>
          <w:spacing w:val="0"/>
          <w:w w:val="100"/>
          <w:position w:val="0"/>
          <w:shd w:val="clear" w:color="auto" w:fill="auto"/>
          <w:lang w:val="en-US" w:eastAsia="en-US" w:bidi="en-US"/>
        </w:rPr>
        <w:t xml:space="preserve"> of the Jewish philosopher and poet Ibn Gabirol (</w:t>
      </w:r>
      <w:r>
        <w:rPr>
          <w:rFonts w:ascii="Times New Roman" w:eastAsia="Times New Roman" w:hAnsi="Times New Roman" w:cs="Times New Roman"/>
          <w:i/>
          <w:iCs/>
          <w:color w:val="000000"/>
          <w:spacing w:val="0"/>
          <w:w w:val="100"/>
          <w:position w:val="0"/>
          <w:shd w:val="clear" w:color="auto" w:fill="auto"/>
          <w:lang w:val="en-US" w:eastAsia="en-US" w:bidi="en-US"/>
        </w:rPr>
        <w:t>q.ν.</w:t>
      </w:r>
      <w:r>
        <w:rPr>
          <w:rFonts w:ascii="Times New Roman" w:eastAsia="Times New Roman" w:hAnsi="Times New Roman" w:cs="Times New Roman"/>
          <w:color w:val="000000"/>
          <w:spacing w:val="0"/>
          <w:w w:val="100"/>
          <w:position w:val="0"/>
          <w:shd w:val="clear" w:color="auto" w:fill="auto"/>
          <w:lang w:val="en-US" w:eastAsia="en-US" w:bidi="en-US"/>
        </w:rPr>
        <w:t>), or Avicebron.</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special command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Raimund,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archbishop of Toledo, the chief of these works were translated from the Arabic through the Castilian into Latin by the archdeacon Dominicus Gonzalvi with the aid of Johannes Avendeath ( = ben David), a converted Jew, about 1150. About the same time, or not long after,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Liber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causis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known—a work destined to have a powerful influence on Scholastic thought, especially in the period immediately succeeding. Ac</w:t>
        <w:softHyphen/>
        <w:t xml:space="preserve">cepted at first as Aristotle’s, and actually printed in the first Latin editions of his works, the book is in reality an Arabian compilation of Neoplatonic theses. Of a similar character was the pseudo-Aristotelian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Theologia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was in circulation at least as early as </w:t>
      </w:r>
      <w:r>
        <w:rPr>
          <w:rFonts w:ascii="Times New Roman" w:eastAsia="Times New Roman" w:hAnsi="Times New Roman" w:cs="Times New Roman"/>
          <w:color w:val="000000"/>
          <w:spacing w:val="0"/>
          <w:w w:val="100"/>
          <w:position w:val="0"/>
          <w:sz w:val="14"/>
          <w:szCs w:val="14"/>
          <w:shd w:val="clear" w:color="auto" w:fill="auto"/>
          <w:lang w:val="en-US" w:eastAsia="en-US" w:bidi="en-US"/>
        </w:rPr>
        <w:t>12oo.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effects of this immense acquisition of new material were markedly unsettling on the doctrinal orthodoxy of the time. The apocryphal Neoplatonic treatises and the views of the Arabian commentators obscured for the first students the genuine doctrine of Aristotle, and the 13th century opens with quite a crop of mystical heresies. The mystical pantheism taught at Paris by Amalrich of Bena (d. 1207;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Amalric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Mysticism),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though based by him upon a revival of Scotus Erigena, was doubtless connected in its origin with the Neoplatonic treatises which now become current. The immanence of God in all things and His incarnation as the Holy Spirit in themselves appear to have been the chief doctrines of the Amalricans. They arc reported to have said, “ Omnia unum, quia quicquid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est est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About the same time David of Dinant, in a book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tomis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(rendered by Albertus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divisionibus)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taught the identity of God with matter (or the indivisible principle of bodies) and nous (or the indivisible principle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intelligences)</w:t>
      </w:r>
      <w:r>
        <w:rPr>
          <w:rFonts w:ascii="Times New Roman" w:eastAsia="Times New Roman" w:hAnsi="Times New Roman" w:cs="Times New Roman"/>
          <w:color w:val="000000"/>
          <w:spacing w:val="0"/>
          <w:w w:val="100"/>
          <w:position w:val="0"/>
          <w:sz w:val="19"/>
          <w:szCs w:val="19"/>
          <w:shd w:val="clear" w:color="auto" w:fill="auto"/>
          <w:lang w:val="en-US" w:eastAsia="en-US" w:bidi="en-US"/>
        </w:rPr>
        <w:t>—an extreme Realism culminating in a materialistic pantheism. If they were diverse, he argued, there must exist above them some higher or common element or being, in which case this would be God, nous, or the original matter. The spread of the Amalrican doctrine led to fierce persecutions, and the provincial council which met at Paris in 1209 expressly decreed “ that neither the books of Aristotle on natural philo</w:t>
        <w:softHyphen/>
        <w:t xml:space="preserve">sophy, nor commentaries on the same, should be read, whether publicly or privately, at Paris.” In 1215 this prohibition is renewed in the statutes of the university of Paris, as sanctioned by the papal legate. Permission was given to lecture on the logical books, both those which had been known all along and those introduced since 1128, but the veto upon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Physics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extended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Metaphysics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summaries of the Arabian commentators. By 1231, however, the fears of the church were beginning to be allayed. A bull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Gregory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IX. in that year makes no mention of any Aristotelian works except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Physics.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Finally, in 1254, we find the university officially prescribing how many hours are to be devoted to the explanation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Meta</w:t>
        <w:softHyphen/>
        <w:t>physics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principal physical treatises of Aristotle. These dates enable us to measure accurately the stages by which the church accommodated itself to, and as it were took possession of, the Aristotelian philosophy. Growing knowledge of Aristotle’s works and the multiplication of translations enabled students to</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Among these may be mentioned Robert Pulleyn (d. 1150), Peter Lombard (d. 1164), called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Magister </w:t>
      </w:r>
      <w:r>
        <w:rPr>
          <w:rFonts w:ascii="Times New Roman" w:eastAsia="Times New Roman" w:hAnsi="Times New Roman" w:cs="Times New Roman"/>
          <w:i/>
          <w:iCs/>
          <w:color w:val="000000"/>
          <w:spacing w:val="0"/>
          <w:w w:val="100"/>
          <w:position w:val="0"/>
          <w:shd w:val="clear" w:color="auto" w:fill="auto"/>
          <w:lang w:val="en-US" w:eastAsia="en-US" w:bidi="en-US"/>
        </w:rPr>
        <w:t>sententiarurn,</w:t>
      </w:r>
      <w:r>
        <w:rPr>
          <w:rFonts w:ascii="Times New Roman" w:eastAsia="Times New Roman" w:hAnsi="Times New Roman" w:cs="Times New Roman"/>
          <w:color w:val="000000"/>
          <w:spacing w:val="0"/>
          <w:w w:val="100"/>
          <w:position w:val="0"/>
          <w:shd w:val="clear" w:color="auto" w:fill="auto"/>
          <w:lang w:val="en-US" w:eastAsia="en-US" w:bidi="en-US"/>
        </w:rPr>
        <w:t xml:space="preserve"> whose work became the text-book of the schools, and remained so for centuries. Hundreds of commentaries were written upon it. Peter •of Poitiers, the pupil of Peter the Lombard, flourished about 1160-1170.</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 names are Robert of </w:t>
      </w:r>
      <w:r>
        <w:rPr>
          <w:rFonts w:ascii="Times New Roman" w:eastAsia="Times New Roman" w:hAnsi="Times New Roman" w:cs="Times New Roman"/>
          <w:color w:val="000000"/>
          <w:spacing w:val="0"/>
          <w:w w:val="100"/>
          <w:position w:val="0"/>
          <w:shd w:val="clear" w:color="auto" w:fill="auto"/>
          <w:lang w:val="fr-FR" w:eastAsia="fr-FR" w:bidi="fr-FR"/>
        </w:rPr>
        <w:t xml:space="preserve">Melun, </w:t>
      </w:r>
      <w:r>
        <w:rPr>
          <w:rFonts w:ascii="Times New Roman" w:eastAsia="Times New Roman" w:hAnsi="Times New Roman" w:cs="Times New Roman"/>
          <w:color w:val="000000"/>
          <w:spacing w:val="0"/>
          <w:w w:val="100"/>
          <w:position w:val="0"/>
          <w:shd w:val="clear" w:color="auto" w:fill="auto"/>
          <w:lang w:val="en-US" w:eastAsia="en-US" w:bidi="en-US"/>
        </w:rPr>
        <w:t xml:space="preserve">Hugo of Amiens, Stephen </w:t>
      </w:r>
      <w:r>
        <w:rPr>
          <w:rFonts w:ascii="Times New Roman" w:eastAsia="Times New Roman" w:hAnsi="Times New Roman" w:cs="Times New Roman"/>
          <w:color w:val="000000"/>
          <w:spacing w:val="0"/>
          <w:w w:val="100"/>
          <w:position w:val="0"/>
          <w:shd w:val="clear" w:color="auto" w:fill="auto"/>
          <w:lang w:val="de-DE" w:eastAsia="de-DE" w:bidi="de-DE"/>
        </w:rPr>
        <w:t xml:space="preserve">Langton </w:t>
      </w:r>
      <w:r>
        <w:rPr>
          <w:rFonts w:ascii="Times New Roman" w:eastAsia="Times New Roman" w:hAnsi="Times New Roman" w:cs="Times New Roman"/>
          <w:color w:val="000000"/>
          <w:spacing w:val="0"/>
          <w:w w:val="100"/>
          <w:position w:val="0"/>
          <w:shd w:val="clear" w:color="auto" w:fill="auto"/>
          <w:lang w:val="en-US" w:eastAsia="en-US" w:bidi="en-US"/>
        </w:rPr>
        <w:t xml:space="preserve">and William of </w:t>
      </w:r>
      <w:r>
        <w:rPr>
          <w:rFonts w:ascii="Times New Roman" w:eastAsia="Times New Roman" w:hAnsi="Times New Roman" w:cs="Times New Roman"/>
          <w:color w:val="000000"/>
          <w:spacing w:val="0"/>
          <w:w w:val="100"/>
          <w:position w:val="0"/>
          <w:shd w:val="clear" w:color="auto" w:fill="auto"/>
          <w:lang w:val="fr-FR" w:eastAsia="fr-FR" w:bidi="fr-FR"/>
        </w:rPr>
        <w:t xml:space="preserve">Auxerre. </w:t>
      </w:r>
      <w:r>
        <w:rPr>
          <w:rFonts w:ascii="Times New Roman" w:eastAsia="Times New Roman" w:hAnsi="Times New Roman" w:cs="Times New Roman"/>
          <w:color w:val="000000"/>
          <w:spacing w:val="0"/>
          <w:w w:val="100"/>
          <w:position w:val="0"/>
          <w:shd w:val="clear" w:color="auto" w:fill="auto"/>
          <w:lang w:val="en-US" w:eastAsia="en-US" w:bidi="en-US"/>
        </w:rPr>
        <w:t xml:space="preserve">More important is Alain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Lille (Alanus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Insulis), who died at an advanced age in 1203. His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arte seu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articulis catholicae fidei</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Summa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Christian theology, but with a greater infusion than usual of philosophical reasoning. Alanus was acquainted with the celebrated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Liber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causis.</w:t>
      </w:r>
    </w:p>
    <w:p>
      <w:pPr>
        <w:widowControl w:val="0"/>
        <w:spacing w:line="1" w:lineRule="exact"/>
      </w:pPr>
    </w:p>
    <w:sectPr>
      <w:footnotePr>
        <w:pos w:val="pageBottom"/>
        <w:numFmt w:val="decimal"/>
        <w:numRestart w:val="continuous"/>
      </w:footnotePr>
      <w:type w:val="continuous"/>
      <w:pgSz w:w="12240" w:h="15840"/>
      <w:pgMar w:top="870" w:left="896" w:right="944" w:bottom="7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