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University Law School, Washington, D.C., in 1887-1909, and a lecturer on American history and constitutional law at Johns Hopkins University in 1891-1908. In 1896-1897 he was presi</w:t>
        <w:softHyphen/>
        <w:t xml:space="preserve">dent of the American Historical Association. His legal treatises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Law of Domestic Relations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Law of Personal Property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(1872-1876; new ed., 1907),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Law of Bailments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Law of Executors and Administrators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Law of Husband and Wife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(1882)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Law of Wills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(1910). He is best known, however, as an historian; his most important work being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United States under the Constitution,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1789-1865 (6 vols., 1880-1899). Among his other publications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Life of Thomas Jefferson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Historical Briefs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(1896), containing a biography of Mr Schouler;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Constitutional Studies, State and Federal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(1897); a brief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Life of Alexander Hamilton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Americans of 1776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(1906);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Ideals of the Republic </w:t>
      </w:r>
      <w:r>
        <w:rPr>
          <w:rFonts w:ascii="Times New Roman" w:eastAsia="Times New Roman" w:hAnsi="Times New Roman" w:cs="Times New Roman"/>
          <w:color w:val="000000"/>
          <w:spacing w:val="0"/>
          <w:w w:val="100"/>
          <w:position w:val="0"/>
          <w:sz w:val="19"/>
          <w:szCs w:val="19"/>
          <w:shd w:val="clear" w:color="auto" w:fill="auto"/>
          <w:lang w:val="en-US" w:eastAsia="en-US" w:bidi="en-US"/>
        </w:rPr>
        <w:t>(1908).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SCHRADER,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EBERHARD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(1836-1908), German orientalist, was born at Brunswick on the 7th of January 1836, and educated at Göttingen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1858 he took a university prize for a treatise on the Ethiopian languages, and in 1863 became professor of theology at Zürich. Subsequently he occupied chairs at Giessen (1870) and Jena (1873), and finally became professor of oriental languages at Berlin. Though he turned first to biblical research, his chief achievements were in the field of Assyriology, in which he was a pioneer in Germany and acquired an international reputation. He died on the 4th of July 1908.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publications include: </w:t>
      </w:r>
      <w:r>
        <w:rPr>
          <w:rFonts w:ascii="Times New Roman" w:eastAsia="Times New Roman" w:hAnsi="Times New Roman" w:cs="Times New Roman"/>
          <w:i/>
          <w:iCs/>
          <w:color w:val="000000"/>
          <w:spacing w:val="0"/>
          <w:w w:val="100"/>
          <w:position w:val="0"/>
          <w:shd w:val="clear" w:color="auto" w:fill="auto"/>
          <w:lang w:val="de-DE" w:eastAsia="de-DE" w:bidi="de-DE"/>
        </w:rPr>
        <w:t>Studien zur Kritik und Erklärung der biblischen Urgeschichte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the 8th edition of </w:t>
      </w:r>
      <w:r>
        <w:rPr>
          <w:rFonts w:ascii="Times New Roman" w:eastAsia="Times New Roman" w:hAnsi="Times New Roman" w:cs="Times New Roman"/>
          <w:color w:val="000000"/>
          <w:spacing w:val="0"/>
          <w:w w:val="100"/>
          <w:position w:val="0"/>
          <w:shd w:val="clear" w:color="auto" w:fill="auto"/>
          <w:lang w:val="de-DE" w:eastAsia="de-DE" w:bidi="de-DE"/>
        </w:rPr>
        <w:t xml:space="preserve">De Wette’s </w:t>
      </w:r>
      <w:r>
        <w:rPr>
          <w:rFonts w:ascii="Times New Roman" w:eastAsia="Times New Roman" w:hAnsi="Times New Roman" w:cs="Times New Roman"/>
          <w:i/>
          <w:iCs/>
          <w:color w:val="000000"/>
          <w:spacing w:val="0"/>
          <w:w w:val="100"/>
          <w:position w:val="0"/>
          <w:shd w:val="clear" w:color="auto" w:fill="auto"/>
          <w:lang w:val="de-DE" w:eastAsia="de-DE" w:bidi="de-DE"/>
        </w:rPr>
        <w:t>Ein</w:t>
        <w:softHyphen/>
        <w:t>leitung in das Alte Testament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assyr.-babyl. Keilinschriften </w:t>
      </w:r>
      <w:r>
        <w:rPr>
          <w:rFonts w:ascii="Times New Roman" w:eastAsia="Times New Roman" w:hAnsi="Times New Roman" w:cs="Times New Roman"/>
          <w:color w:val="000000"/>
          <w:spacing w:val="0"/>
          <w:w w:val="100"/>
          <w:position w:val="0"/>
          <w:shd w:val="clear" w:color="auto" w:fill="auto"/>
          <w:lang w:val="en-US" w:eastAsia="en-US" w:bidi="en-US"/>
        </w:rPr>
        <w:t xml:space="preserve">(1872); </w:t>
      </w:r>
      <w:r>
        <w:rPr>
          <w:rFonts w:ascii="Times New Roman" w:eastAsia="Times New Roman" w:hAnsi="Times New Roman" w:cs="Times New Roman"/>
          <w:i/>
          <w:iCs/>
          <w:color w:val="000000"/>
          <w:spacing w:val="0"/>
          <w:w w:val="100"/>
          <w:position w:val="0"/>
          <w:shd w:val="clear" w:color="auto" w:fill="auto"/>
          <w:lang w:val="de-DE" w:eastAsia="de-DE" w:bidi="de-DE"/>
        </w:rPr>
        <w:t>Die Keilinschriften und das Alt. Test.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Zimmern and Winckler, </w:t>
      </w:r>
      <w:r>
        <w:rPr>
          <w:rFonts w:ascii="Times New Roman" w:eastAsia="Times New Roman" w:hAnsi="Times New Roman" w:cs="Times New Roman"/>
          <w:color w:val="000000"/>
          <w:spacing w:val="0"/>
          <w:w w:val="100"/>
          <w:position w:val="0"/>
          <w:shd w:val="clear" w:color="auto" w:fill="auto"/>
          <w:lang w:val="en-US" w:eastAsia="en-US" w:bidi="en-US"/>
        </w:rPr>
        <w:t xml:space="preserve">1901-1902); </w:t>
      </w:r>
      <w:r>
        <w:rPr>
          <w:rFonts w:ascii="Times New Roman" w:eastAsia="Times New Roman" w:hAnsi="Times New Roman" w:cs="Times New Roman"/>
          <w:i/>
          <w:iCs/>
          <w:color w:val="000000"/>
          <w:spacing w:val="0"/>
          <w:w w:val="100"/>
          <w:position w:val="0"/>
          <w:shd w:val="clear" w:color="auto" w:fill="auto"/>
          <w:lang w:val="de-DE" w:eastAsia="de-DE" w:bidi="de-DE"/>
        </w:rPr>
        <w:t>Keilinschriften und Ge</w:t>
        <w:softHyphen/>
        <w:t>schichtsforschung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i/>
          <w:iCs/>
          <w:color w:val="000000"/>
          <w:spacing w:val="0"/>
          <w:w w:val="100"/>
          <w:position w:val="0"/>
          <w:shd w:val="clear" w:color="auto" w:fill="auto"/>
          <w:lang w:val="de-DE" w:eastAsia="de-DE" w:bidi="de-DE"/>
        </w:rPr>
        <w:t>Die Höllenfahrt der Istar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(text, trans., notes, 1874); </w:t>
      </w:r>
      <w:r>
        <w:rPr>
          <w:rFonts w:ascii="Times New Roman" w:eastAsia="Times New Roman" w:hAnsi="Times New Roman" w:cs="Times New Roman"/>
          <w:i/>
          <w:iCs/>
          <w:color w:val="000000"/>
          <w:spacing w:val="0"/>
          <w:w w:val="100"/>
          <w:position w:val="0"/>
          <w:shd w:val="clear" w:color="auto" w:fill="auto"/>
          <w:lang w:val="de-DE" w:eastAsia="de-DE" w:bidi="de-DE"/>
        </w:rPr>
        <w:t>Zur Frage nach dem Ursprung der altbabylonischen Kultur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conjunction with other scholars,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Keilinschriftliche </w:t>
      </w:r>
      <w:r>
        <w:rPr>
          <w:rFonts w:ascii="Times New Roman" w:eastAsia="Times New Roman" w:hAnsi="Times New Roman" w:cs="Times New Roman"/>
          <w:i/>
          <w:iCs/>
          <w:color w:val="000000"/>
          <w:spacing w:val="0"/>
          <w:w w:val="100"/>
          <w:position w:val="0"/>
          <w:shd w:val="clear" w:color="auto" w:fill="auto"/>
          <w:lang w:val="de-DE" w:eastAsia="de-DE" w:bidi="de-DE"/>
        </w:rPr>
        <w:t>Bibliothek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SCHREIBER, LADY CHARLOTTE ELIZABETH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(1812- 1895), better known as Lady Charlotte Guest, Welsh scholar and connoisseur of china, daughter of Albemarle Bertie, 9th earl of Lindsey, was born at Uffington House, Lincolnshire, on the 19th of May 1812. She married in 1833 Sir Josiah John Guest, manager and afterwards owner of the Dowlais iron</w:t>
        <w:softHyphen/>
        <w:t xml:space="preserve">works near Merthyr Tydvil. Lady Charlotte Guest studied the Welsh language and literature, and published (3 vols., 1838-1849)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Mabinogion, from the Llyfr Coch o Hergest, and other ancient Welsh Manuscripts, with an English translation and notes.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second edition without the Welsh text appeared in 1877, and in 1881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Boy’s Mabinogion; being the earliest Welsh tales of King Arthur in the famous Red Book of Hergest, edited with an introduction by S. Lanier.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Sir Josiah Guest died in 1852, and Lady Charlotte married in 1855 Charles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Schreiber,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M.P. for Cheltenham and Poole. She made a valuable collection of English porcelain and china, now in the South Kensington Museum, another of fans and fan leaves, presented to the British Museum, and a third of playing cards, part of which is in the British Museum. On all three subjects she left elaborate treatises. She died on the 15th of January 1895 at Canford Manor, Dorset, at the house of her eldest son Ivor Guest, Baron Wimbome.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of Lady Charlotte Guest’s translation of the Mabinogion are in </w:t>
      </w:r>
      <w:r>
        <w:rPr>
          <w:rFonts w:ascii="Times New Roman" w:eastAsia="Times New Roman" w:hAnsi="Times New Roman" w:cs="Times New Roman"/>
          <w:i/>
          <w:iCs/>
          <w:color w:val="000000"/>
          <w:spacing w:val="0"/>
          <w:w w:val="100"/>
          <w:position w:val="0"/>
          <w:shd w:val="clear" w:color="auto" w:fill="auto"/>
          <w:lang w:val="en-US" w:eastAsia="en-US" w:bidi="en-US"/>
        </w:rPr>
        <w:t>The Temple Classics</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hd w:val="clear" w:color="auto" w:fill="auto"/>
          <w:lang w:val="en-US" w:eastAsia="en-US" w:bidi="en-US"/>
        </w:rPr>
        <w:t>The Welsh Library</w:t>
      </w:r>
      <w:r>
        <w:rPr>
          <w:rFonts w:ascii="Times New Roman" w:eastAsia="Times New Roman" w:hAnsi="Times New Roman" w:cs="Times New Roman"/>
          <w:color w:val="000000"/>
          <w:spacing w:val="0"/>
          <w:w w:val="100"/>
          <w:position w:val="0"/>
          <w:shd w:val="clear" w:color="auto" w:fill="auto"/>
          <w:lang w:val="en-US" w:eastAsia="en-US" w:bidi="en-US"/>
        </w:rPr>
        <w:t xml:space="preserve"> (1902), &amp;c.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SCHREIBERHAU,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village and climatic health resort of Germany, in the Prussian province of Silesia, situated in the valley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Zacken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Riesengebirge,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1900 ft. above the sea, 16 m. S.W.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Hirschberg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railway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Grünthal. </w:t>
      </w:r>
      <w:r>
        <w:rPr>
          <w:rFonts w:ascii="Times New Roman" w:eastAsia="Times New Roman" w:hAnsi="Times New Roman" w:cs="Times New Roman"/>
          <w:color w:val="000000"/>
          <w:spacing w:val="0"/>
          <w:w w:val="100"/>
          <w:position w:val="0"/>
          <w:sz w:val="19"/>
          <w:szCs w:val="19"/>
          <w:shd w:val="clear" w:color="auto" w:fill="auto"/>
          <w:lang w:val="en-US" w:eastAsia="en-US" w:bidi="en-US"/>
        </w:rPr>
        <w:t>Pop. (1905) 4994. It has two Roman Catholic and two Evangeli</w:t>
        <w:softHyphen/>
        <w:t>cal churches, and works for the making and polishing of glass. It is a popular resort, being visited by about 10,000 visitors annually.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Kloidt, </w:t>
      </w:r>
      <w:r>
        <w:rPr>
          <w:rFonts w:ascii="Times New Roman" w:eastAsia="Times New Roman" w:hAnsi="Times New Roman" w:cs="Times New Roman"/>
          <w:i/>
          <w:iCs/>
          <w:color w:val="000000"/>
          <w:spacing w:val="0"/>
          <w:w w:val="100"/>
          <w:position w:val="0"/>
          <w:shd w:val="clear" w:color="auto" w:fill="auto"/>
          <w:lang w:val="de-DE" w:eastAsia="de-DE" w:bidi="de-DE"/>
        </w:rPr>
        <w:t>Schreiberhau im Riesengebirge</w:t>
      </w:r>
      <w:r>
        <w:rPr>
          <w:rFonts w:ascii="Times New Roman" w:eastAsia="Times New Roman" w:hAnsi="Times New Roman" w:cs="Times New Roman"/>
          <w:color w:val="000000"/>
          <w:spacing w:val="0"/>
          <w:w w:val="100"/>
          <w:position w:val="0"/>
          <w:shd w:val="clear" w:color="auto" w:fill="auto"/>
          <w:lang w:val="de-DE" w:eastAsia="de-DE" w:bidi="de-DE"/>
        </w:rPr>
        <w:t xml:space="preserve"> (Breslau, </w:t>
      </w:r>
      <w:r>
        <w:rPr>
          <w:rFonts w:ascii="Times New Roman" w:eastAsia="Times New Roman" w:hAnsi="Times New Roman" w:cs="Times New Roman"/>
          <w:color w:val="000000"/>
          <w:spacing w:val="0"/>
          <w:w w:val="100"/>
          <w:position w:val="0"/>
          <w:shd w:val="clear" w:color="auto" w:fill="auto"/>
          <w:lang w:val="en-US" w:eastAsia="en-US" w:bidi="en-US"/>
        </w:rPr>
        <w:t>1893).</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SCHREYER, ADOLF (1828-1899), German painter, was bom at Frankfort-on-Main, and studied art first at the Staedel Institute in his native town, and then at Stuttgart, Munich, and Düsseldorf; but he formed his style in Paris, whilst he found his</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favourite subjects in his travels in the East. He first accom- panied Prince Thurn and Taxis through Hungary, Wallachia, Russia and Turkey; then, in 1854, he followed the Austrian army across the Wallachian frontier. In 1856 he went to Egypt and Syria, and in 1861 to Algiers. In 1862 he settled in Paris, but returned to Germany in 1870; and settled at Cronberg near Frankfort, where he died in 1899. Schreyer was, and is still, especially esteemed as a painter of horses, of peasant life in Wallachia and Moldavia, and of battle incidents. His work is remarkable for its excellent equine draughtsmanship, and for the artist’s power of observation and forceful statement; and has found particular favour among French and American collectors. Of his battle-pictures there are two at the Schwerin Gallery, and others in the collection of Count Mensdorff-Pouilly and in the Ravené Gallery, Berlin. His painting of a “ Charge of Artillery of Imperial Guard ” was formerly at the Luxembourg Museum. The Metropolitan Museum, New York, owns three of Schreyer’s oriental paintings: “Abandoned,” “Arabs on the March” and “ Arabs making a detour ”; and many of his best pictures are in the Rockefeller, Vanderbilt, J. J. Astor, W. Astor, A. Belmont, and W. Walters collections. At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Kunsthalle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Hamburg is his “ Wallachian Transport Train,” and at the Staedel Institute, Frankfort, are two of his Wallachian scenes.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SCHRIJVER,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PETER (1576-1660), Dutch author, better known as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Scriverius,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bom at Haarlem on the 12th of January 1576. He was educated at the university of Leiden, where he formed a close intimacy with Daniel Heinsius. He belonged to the party of Oldenbarneveldt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brought down the displeasure of the government by a copy of Latin verses in honour of their friend Hoogerbeets. Most of his life was passed in Leiden, but in 1650 he became blind, and the last years of his life were spent in his son’s house at Oudewater, where he died on the 30th of April 1660.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is best known as a scholar by his notes on Martial, Ausonius, the </w:t>
      </w:r>
      <w:r>
        <w:rPr>
          <w:rFonts w:ascii="Times New Roman" w:eastAsia="Times New Roman" w:hAnsi="Times New Roman" w:cs="Times New Roman"/>
          <w:i/>
          <w:iCs/>
          <w:color w:val="000000"/>
          <w:spacing w:val="0"/>
          <w:w w:val="100"/>
          <w:position w:val="0"/>
          <w:shd w:val="clear" w:color="auto" w:fill="auto"/>
          <w:lang w:val="en-US" w:eastAsia="en-US" w:bidi="en-US"/>
        </w:rPr>
        <w:t>Pervigilium Veneris;</w:t>
      </w:r>
      <w:r>
        <w:rPr>
          <w:rFonts w:ascii="Times New Roman" w:eastAsia="Times New Roman" w:hAnsi="Times New Roman" w:cs="Times New Roman"/>
          <w:color w:val="000000"/>
          <w:spacing w:val="0"/>
          <w:w w:val="100"/>
          <w:position w:val="0"/>
          <w:shd w:val="clear" w:color="auto" w:fill="auto"/>
          <w:lang w:val="en-US" w:eastAsia="en-US" w:bidi="en-US"/>
        </w:rPr>
        <w:t xml:space="preserve"> editions of the poems of Scaliger (Leiden, 1615),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 </w:t>
      </w:r>
      <w:r>
        <w:rPr>
          <w:rFonts w:ascii="Times New Roman" w:eastAsia="Times New Roman" w:hAnsi="Times New Roman" w:cs="Times New Roman"/>
          <w:i/>
          <w:iCs/>
          <w:color w:val="000000"/>
          <w:spacing w:val="0"/>
          <w:w w:val="100"/>
          <w:position w:val="0"/>
          <w:shd w:val="clear" w:color="auto" w:fill="auto"/>
          <w:lang w:val="fr-FR" w:eastAsia="fr-FR" w:bidi="fr-FR"/>
        </w:rPr>
        <w:t>militari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Vegetius </w:t>
      </w:r>
      <w:r>
        <w:rPr>
          <w:rFonts w:ascii="Times New Roman" w:eastAsia="Times New Roman" w:hAnsi="Times New Roman" w:cs="Times New Roman"/>
          <w:color w:val="000000"/>
          <w:spacing w:val="0"/>
          <w:w w:val="100"/>
          <w:position w:val="0"/>
          <w:shd w:val="clear" w:color="auto" w:fill="auto"/>
          <w:lang w:val="de-DE" w:eastAsia="de-DE" w:bidi="de-DE"/>
        </w:rPr>
        <w:t xml:space="preserve">Renatus, </w:t>
      </w:r>
      <w:r>
        <w:rPr>
          <w:rFonts w:ascii="Times New Roman" w:eastAsia="Times New Roman" w:hAnsi="Times New Roman" w:cs="Times New Roman"/>
          <w:color w:val="000000"/>
          <w:spacing w:val="0"/>
          <w:w w:val="100"/>
          <w:position w:val="0"/>
          <w:shd w:val="clear" w:color="auto" w:fill="auto"/>
          <w:lang w:val="en-US" w:eastAsia="en-US" w:bidi="en-US"/>
        </w:rPr>
        <w:t xml:space="preserve">the tragedies of Seneca (P. </w:t>
      </w:r>
      <w:r>
        <w:rPr>
          <w:rFonts w:ascii="Times New Roman" w:eastAsia="Times New Roman" w:hAnsi="Times New Roman" w:cs="Times New Roman"/>
          <w:i/>
          <w:iCs/>
          <w:color w:val="000000"/>
          <w:spacing w:val="0"/>
          <w:w w:val="100"/>
          <w:position w:val="0"/>
          <w:shd w:val="clear" w:color="auto" w:fill="auto"/>
          <w:lang w:val="en-US" w:eastAsia="en-US" w:bidi="en-US"/>
        </w:rPr>
        <w:t>Scriυerii collectanea veterum tragicorum,</w:t>
      </w:r>
      <w:r>
        <w:rPr>
          <w:rFonts w:ascii="Times New Roman" w:eastAsia="Times New Roman" w:hAnsi="Times New Roman" w:cs="Times New Roman"/>
          <w:color w:val="000000"/>
          <w:spacing w:val="0"/>
          <w:w w:val="100"/>
          <w:position w:val="0"/>
          <w:shd w:val="clear" w:color="auto" w:fill="auto"/>
          <w:lang w:val="en-US" w:eastAsia="en-US" w:bidi="en-US"/>
        </w:rPr>
        <w:t xml:space="preserve"> 1621), &amp;c.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Opera anecdote, philologica,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poëtica</w:t>
      </w:r>
      <w:r>
        <w:rPr>
          <w:rFonts w:ascii="Times New Roman" w:eastAsia="Times New Roman" w:hAnsi="Times New Roman" w:cs="Times New Roman"/>
          <w:color w:val="000000"/>
          <w:spacing w:val="0"/>
          <w:w w:val="100"/>
          <w:position w:val="0"/>
          <w:shd w:val="clear" w:color="auto" w:fill="auto"/>
          <w:lang w:val="en-US" w:eastAsia="en-US" w:bidi="en-US"/>
        </w:rPr>
        <w:t xml:space="preserve"> (Utrecht, 1738) were edited by A. H. Westerhovius, 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Nederduitschc </w:t>
      </w:r>
      <w:r>
        <w:rPr>
          <w:rFonts w:ascii="Times New Roman" w:eastAsia="Times New Roman" w:hAnsi="Times New Roman" w:cs="Times New Roman"/>
          <w:i/>
          <w:iCs/>
          <w:color w:val="000000"/>
          <w:spacing w:val="0"/>
          <w:w w:val="100"/>
          <w:position w:val="0"/>
          <w:shd w:val="clear" w:color="auto" w:fill="auto"/>
          <w:lang w:val="de-DE" w:eastAsia="de-DE" w:bidi="de-DE"/>
        </w:rPr>
        <w:t>Gedichten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(1738) by S. </w:t>
      </w:r>
      <w:r>
        <w:rPr>
          <w:rFonts w:ascii="Times New Roman" w:eastAsia="Times New Roman" w:hAnsi="Times New Roman" w:cs="Times New Roman"/>
          <w:color w:val="000000"/>
          <w:spacing w:val="0"/>
          <w:w w:val="100"/>
          <w:position w:val="0"/>
          <w:shd w:val="clear" w:color="auto" w:fill="auto"/>
          <w:lang w:val="de-DE" w:eastAsia="de-DE" w:bidi="de-DE"/>
        </w:rPr>
        <w:t xml:space="preserve">Dockes. </w:t>
      </w:r>
      <w:r>
        <w:rPr>
          <w:rFonts w:ascii="Times New Roman" w:eastAsia="Times New Roman" w:hAnsi="Times New Roman" w:cs="Times New Roman"/>
          <w:color w:val="000000"/>
          <w:spacing w:val="0"/>
          <w:w w:val="100"/>
          <w:position w:val="0"/>
          <w:shd w:val="clear" w:color="auto" w:fill="auto"/>
          <w:lang w:val="en-US" w:eastAsia="en-US" w:bidi="en-US"/>
        </w:rPr>
        <w:t xml:space="preserve">He made many valuable contributions to the history of Holland: </w:t>
      </w:r>
      <w:r>
        <w:rPr>
          <w:rFonts w:ascii="Times New Roman" w:eastAsia="Times New Roman" w:hAnsi="Times New Roman" w:cs="Times New Roman"/>
          <w:i/>
          <w:iCs/>
          <w:color w:val="000000"/>
          <w:spacing w:val="0"/>
          <w:w w:val="100"/>
          <w:position w:val="0"/>
          <w:shd w:val="clear" w:color="auto" w:fill="auto"/>
          <w:lang w:val="en-US" w:eastAsia="en-US" w:bidi="en-US"/>
        </w:rPr>
        <w:t>Batavia Illustrate</w:t>
      </w:r>
      <w:r>
        <w:rPr>
          <w:rFonts w:ascii="Times New Roman" w:eastAsia="Times New Roman" w:hAnsi="Times New Roman" w:cs="Times New Roman"/>
          <w:color w:val="000000"/>
          <w:spacing w:val="0"/>
          <w:w w:val="100"/>
          <w:position w:val="0"/>
          <w:shd w:val="clear" w:color="auto" w:fill="auto"/>
          <w:lang w:val="en-US" w:eastAsia="en-US" w:bidi="en-US"/>
        </w:rPr>
        <w:t xml:space="preserve"> (4 parts, Leiden, 1609);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Corte historische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Beschryvinghe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Nedertandscher Oorlogen</w:t>
      </w:r>
      <w:r>
        <w:rPr>
          <w:rFonts w:ascii="Times New Roman" w:eastAsia="Times New Roman" w:hAnsi="Times New Roman" w:cs="Times New Roman"/>
          <w:color w:val="000000"/>
          <w:spacing w:val="0"/>
          <w:w w:val="100"/>
          <w:position w:val="0"/>
          <w:shd w:val="clear" w:color="auto" w:fill="auto"/>
          <w:lang w:val="en-US" w:eastAsia="en-US" w:bidi="en-US"/>
        </w:rPr>
        <w:t xml:space="preserve"> (1612); </w:t>
      </w:r>
      <w:r>
        <w:rPr>
          <w:rFonts w:ascii="Times New Roman" w:eastAsia="Times New Roman" w:hAnsi="Times New Roman" w:cs="Times New Roman"/>
          <w:i/>
          <w:iCs/>
          <w:color w:val="000000"/>
          <w:spacing w:val="0"/>
          <w:w w:val="100"/>
          <w:position w:val="0"/>
          <w:shd w:val="clear" w:color="auto" w:fill="auto"/>
          <w:lang w:val="en-US" w:eastAsia="en-US" w:bidi="en-US"/>
        </w:rPr>
        <w:t>In</w:t>
        <w:softHyphen/>
        <w:t>ferior is Germaniae . . . historia</w:t>
      </w:r>
      <w:r>
        <w:rPr>
          <w:rFonts w:ascii="Times New Roman" w:eastAsia="Times New Roman" w:hAnsi="Times New Roman" w:cs="Times New Roman"/>
          <w:color w:val="000000"/>
          <w:spacing w:val="0"/>
          <w:w w:val="100"/>
          <w:position w:val="0"/>
          <w:shd w:val="clear" w:color="auto" w:fill="auto"/>
          <w:lang w:val="en-US" w:eastAsia="en-US" w:bidi="en-US"/>
        </w:rPr>
        <w:t xml:space="preserve"> (1611, 4 parts); </w:t>
      </w:r>
      <w:r>
        <w:rPr>
          <w:rFonts w:ascii="Times New Roman" w:eastAsia="Times New Roman" w:hAnsi="Times New Roman" w:cs="Times New Roman"/>
          <w:i/>
          <w:iCs/>
          <w:color w:val="000000"/>
          <w:spacing w:val="0"/>
          <w:w w:val="100"/>
          <w:position w:val="0"/>
          <w:shd w:val="clear" w:color="auto" w:fill="auto"/>
          <w:lang w:val="en-US" w:eastAsia="en-US" w:bidi="en-US"/>
        </w:rPr>
        <w:t>Beschryvinghe van Out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Batavien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 xml:space="preserve">1612); </w:t>
      </w:r>
      <w:r>
        <w:rPr>
          <w:rFonts w:ascii="Times New Roman" w:eastAsia="Times New Roman" w:hAnsi="Times New Roman" w:cs="Times New Roman"/>
          <w:i/>
          <w:iCs/>
          <w:color w:val="000000"/>
          <w:spacing w:val="0"/>
          <w:w w:val="100"/>
          <w:position w:val="0"/>
          <w:shd w:val="clear" w:color="auto" w:fill="auto"/>
          <w:lang w:val="en-US" w:eastAsia="en-US" w:bidi="en-US"/>
        </w:rPr>
        <w:t>Het oude gontsche Chronycxken van Hollandt,</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him, and printed at Amsterdam in 1663;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Principes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Hollandiae Zelandiae </w:t>
      </w:r>
      <w:r>
        <w:rPr>
          <w:rFonts w:ascii="Times New Roman" w:eastAsia="Times New Roman" w:hAnsi="Times New Roman" w:cs="Times New Roman"/>
          <w:i/>
          <w:iCs/>
          <w:color w:val="000000"/>
          <w:spacing w:val="0"/>
          <w:w w:val="100"/>
          <w:position w:val="0"/>
          <w:shd w:val="clear" w:color="auto" w:fill="auto"/>
          <w:lang w:val="fr-FR" w:eastAsia="fr-FR" w:bidi="fr-FR"/>
        </w:rPr>
        <w:t>et F</w:t>
      </w:r>
      <w:r>
        <w:rPr>
          <w:rFonts w:ascii="Times New Roman" w:eastAsia="Times New Roman" w:hAnsi="Times New Roman" w:cs="Times New Roman"/>
          <w:i/>
          <w:iCs/>
          <w:color w:val="000000"/>
          <w:spacing w:val="0"/>
          <w:w w:val="100"/>
          <w:position w:val="0"/>
          <w:shd w:val="clear" w:color="auto" w:fill="auto"/>
          <w:lang w:val="en-US" w:eastAsia="en-US" w:bidi="en-US"/>
        </w:rPr>
        <w:t>risiae</w:t>
      </w:r>
      <w:r>
        <w:rPr>
          <w:rFonts w:ascii="Times New Roman" w:eastAsia="Times New Roman" w:hAnsi="Times New Roman" w:cs="Times New Roman"/>
          <w:color w:val="000000"/>
          <w:spacing w:val="0"/>
          <w:w w:val="100"/>
          <w:position w:val="0"/>
          <w:shd w:val="clear" w:color="auto" w:fill="auto"/>
          <w:lang w:val="en-US" w:eastAsia="en-US" w:bidi="en-US"/>
        </w:rPr>
        <w:t xml:space="preserve"> (Haarlem, 1650), translated (1678) into Dutch by Pieter Brugman.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Peerlkamp,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Vitae Βelgarum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latina carmina scripserunt </w:t>
      </w:r>
      <w:r>
        <w:rPr>
          <w:rFonts w:ascii="Times New Roman" w:eastAsia="Times New Roman" w:hAnsi="Times New Roman" w:cs="Times New Roman"/>
          <w:color w:val="000000"/>
          <w:spacing w:val="0"/>
          <w:w w:val="100"/>
          <w:position w:val="0"/>
          <w:shd w:val="clear" w:color="auto" w:fill="auto"/>
          <w:lang w:val="en-US" w:eastAsia="en-US" w:bidi="en-US"/>
        </w:rPr>
        <w:t xml:space="preserve">(Brussels, 1822), and J. H. Hoeufft,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Parnassus latino-belgicus </w:t>
      </w:r>
      <w:r>
        <w:rPr>
          <w:rFonts w:ascii="Times New Roman" w:eastAsia="Times New Roman" w:hAnsi="Times New Roman" w:cs="Times New Roman"/>
          <w:color w:val="000000"/>
          <w:spacing w:val="0"/>
          <w:w w:val="100"/>
          <w:position w:val="0"/>
          <w:shd w:val="clear" w:color="auto" w:fill="auto"/>
          <w:lang w:val="en-US" w:eastAsia="en-US" w:bidi="en-US"/>
        </w:rPr>
        <w:t>(Amsterdam, 1819).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SCHRÖDER, FRIEDRICH LUDWIG (1744-1816), German actor, manager and dramatist, was born in Schwerin on the 3rd of November 1744. Shortly after his birth, his mother, Sophie Charlotte Schröder (1714-1792), separated from her husband, and joining a theatrical company toured with success in Poland and Russia. Subsequently she married Konrad Ernst Ackermann and appeared with his company in many German cities, finally settling in Hamburg. Young Schröder early showed considerable talent, but his childhood was rendered so unhappy by his stepfather that he ran away from home and learnt the trade of a shoemaker. He rejoined his parents, however, in 1759, and became an actor. In 1764 he appeared with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Ackermann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company in Hamburg, playing leading comedy parts; but these he soon exchanged for the tragic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which he became famous. These included Hamlet, Lear and Philip in Schiller’s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Don Carlos.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Ackermann’s death in 1771 Schröder and his mother took over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management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Hamburg theatre, and he began to write plays</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largely adaptations from the English, making his first success with the comedy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Arglistige.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1780 he left Hamburg, and after a tour with his wife, Anna Christina Hart, a former pupil, accepted an engagement at the Court theatre in Vienna. In 1785 Schröder again took over his Hamburg management and conducted the theatre with marked ability until his retirement in 1798. The Hamburg theatre again falling into decay, the master was once more summoned to assist in its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