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rehabilitation, and in 1811 he returned to it for one year. He died on the 3rd of September 1816. As an actor Schröder was the first to depart from the stilted style of former tragedians; as a manager he raised the standard of plays presented and first brought Shakespeare before the German public. Schröder’s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Dramatische Werke,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with an introduction by Tieck, were published in four volumes (Berlin, 1831).</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See B. Litzmânn, </w:t>
      </w:r>
      <w:r>
        <w:rPr>
          <w:rFonts w:ascii="Times New Roman" w:eastAsia="Times New Roman" w:hAnsi="Times New Roman" w:cs="Times New Roman"/>
          <w:color w:val="000000"/>
          <w:spacing w:val="0"/>
          <w:w w:val="100"/>
          <w:position w:val="0"/>
          <w:sz w:val="18"/>
          <w:szCs w:val="18"/>
          <w:shd w:val="clear" w:color="auto" w:fill="auto"/>
          <w:lang w:val="en-US" w:eastAsia="en-US" w:bidi="en-US"/>
        </w:rPr>
        <w:t>Friedrich Ludwig Schröder</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(Hamburg, 1890- 1894); R. Blum in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Allgemeines Theater-Lexikon</w:t>
      </w: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(1842); and </w:t>
      </w: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Brunier, </w:t>
      </w:r>
      <w:r>
        <w:rPr>
          <w:rFonts w:ascii="Times New Roman" w:eastAsia="Times New Roman" w:hAnsi="Times New Roman" w:cs="Times New Roman"/>
          <w:color w:val="000000"/>
          <w:spacing w:val="0"/>
          <w:w w:val="100"/>
          <w:position w:val="0"/>
          <w:sz w:val="18"/>
          <w:szCs w:val="18"/>
          <w:shd w:val="clear" w:color="auto" w:fill="auto"/>
          <w:lang w:val="en-US" w:eastAsia="en-US" w:bidi="en-US"/>
        </w:rPr>
        <w:t>Friedrich Ludwig Schröder</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(Leipzig, 1864).</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SCHRÖDER, SOPHIE (1781-1868), German actress, was born at Paderborn on the 23rd of February 1781, the daughter of an actor, Gottfried Bürger. She made her first appearance in opera at St Petersburg, in 1793. On Kotzebue’s recommendation she was engaged for the Vienna Court theatre in 1798, and here and in Munich and Hamburg she won great successes in tragic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rôles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like Marie Stuart,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Phèdre,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Merope, Lady Macbeth, and Isabella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Bride of Messina,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which gave her the reputation of being “ the German Siddons.” She retired in 1840 and lived in Augsburg and Munich until her death on the 25th of February 1868. She had married, in 1795, an actor, Stollmers (properly Smets), from whom she separated in 1799. In 1804 she married the tenor Friedrich Schröder, and on his death in 1825, an actor,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Kunst.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Mme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Schröder’s eldest daughter was the opera singer, Wilhelmine Devrient-Schröder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See Ph. Schmidt, </w:t>
      </w:r>
      <w:r>
        <w:rPr>
          <w:rFonts w:ascii="Times New Roman" w:eastAsia="Times New Roman" w:hAnsi="Times New Roman" w:cs="Times New Roman"/>
          <w:i/>
          <w:iCs/>
          <w:color w:val="000000"/>
          <w:spacing w:val="0"/>
          <w:w w:val="100"/>
          <w:position w:val="0"/>
          <w:shd w:val="clear" w:color="auto" w:fill="auto"/>
          <w:lang w:val="en-US" w:eastAsia="en-US" w:bidi="en-US"/>
        </w:rPr>
        <w:t>Sophie Schröder</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(Vienna, 1870); also </w:t>
      </w:r>
      <w:r>
        <w:rPr>
          <w:rFonts w:ascii="Times New Roman" w:eastAsia="Times New Roman" w:hAnsi="Times New Roman" w:cs="Times New Roman"/>
          <w:i/>
          <w:iCs/>
          <w:color w:val="000000"/>
          <w:spacing w:val="0"/>
          <w:w w:val="100"/>
          <w:position w:val="0"/>
          <w:shd w:val="clear" w:color="auto" w:fill="auto"/>
          <w:lang w:val="en-US" w:eastAsia="en-US" w:bidi="en-US"/>
        </w:rPr>
        <w:t xml:space="preserve">Das </w:t>
      </w:r>
      <w:r>
        <w:rPr>
          <w:rFonts w:ascii="Times New Roman" w:eastAsia="Times New Roman" w:hAnsi="Times New Roman" w:cs="Times New Roman"/>
          <w:i/>
          <w:iCs/>
          <w:color w:val="000000"/>
          <w:spacing w:val="0"/>
          <w:w w:val="100"/>
          <w:position w:val="0"/>
          <w:shd w:val="clear" w:color="auto" w:fill="auto"/>
          <w:lang w:val="de-DE" w:eastAsia="de-DE" w:bidi="de-DE"/>
        </w:rPr>
        <w:t>Lexikon der deutscher Bühnen-</w:t>
      </w:r>
      <w:r>
        <w:rPr>
          <w:rFonts w:ascii="Times New Roman" w:eastAsia="Times New Roman" w:hAnsi="Times New Roman" w:cs="Times New Roman"/>
          <w:i/>
          <w:iCs/>
          <w:color w:val="000000"/>
          <w:spacing w:val="0"/>
          <w:w w:val="100"/>
          <w:position w:val="0"/>
          <w:shd w:val="clear" w:color="auto" w:fill="auto"/>
          <w:lang w:val="en-US" w:eastAsia="en-US" w:bidi="en-US"/>
        </w:rPr>
        <w:t>An</w:t>
      </w:r>
      <w:r>
        <w:rPr>
          <w:rFonts w:ascii="Times New Roman" w:eastAsia="Times New Roman" w:hAnsi="Times New Roman" w:cs="Times New Roman"/>
          <w:i/>
          <w:iCs/>
          <w:color w:val="000000"/>
          <w:spacing w:val="0"/>
          <w:w w:val="100"/>
          <w:position w:val="0"/>
          <w:shd w:val="clear" w:color="auto" w:fill="auto"/>
          <w:lang w:val="de-DE" w:eastAsia="de-DE" w:bidi="de-DE"/>
        </w:rPr>
        <w:t>gehörigen.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SCHRÖDER - DEVRIENT, WILHELMINE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(1804-1860),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German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operatic singer,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born on the 6th of December 1804, in Hamburg, being the daughter of the actress, Sophie Schröder (1781-1868). Her first impersonation was at the age of fifteen as Aricia in Schiller’s translation of Racine’s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Phèdre,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in 1821 she was received with so much enthusiasm as Pamina in Mozart’s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Zauberflöte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that her future career in opera was assured. In 1823 she married Karl Devrient, but was separated from him in 1828, afterwards making two other marriages. Meanwhile she had maintained her popularity at Dresden and elsewhere. She made her first Paris appearance in 1830, and she sang in London in 1833 and 1837. As a singer she combined a rare quality of tone with dramatic intensity of expression, which was as remarkable on the concert platform as in opera. She died in Coburg on the 26th of January 1860.</w:t>
      </w:r>
    </w:p>
    <w:p>
      <w:pPr>
        <w:pStyle w:val="Style7"/>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See E. </w:t>
      </w: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von Glümer,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Erinnerungen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 Wilhelmine Schröder-Devrient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(Leipzig, 1862); and A. von Wolzogen, </w:t>
      </w:r>
      <w:r>
        <w:rPr>
          <w:rFonts w:ascii="Times New Roman" w:eastAsia="Times New Roman" w:hAnsi="Times New Roman" w:cs="Times New Roman"/>
          <w:color w:val="000000"/>
          <w:spacing w:val="0"/>
          <w:w w:val="100"/>
          <w:position w:val="0"/>
          <w:sz w:val="18"/>
          <w:szCs w:val="18"/>
          <w:shd w:val="clear" w:color="auto" w:fill="auto"/>
          <w:lang w:val="en-US" w:eastAsia="en-US" w:bidi="en-US"/>
        </w:rPr>
        <w:t>Wilhelmine Schröder- Devrient</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(Leipzig, 1863).</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SCHRÖTER,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JOHANN HIERONYMUS (1745-1816), German astronomer, was born at Erfurt on the 30th of August 1745. Having studied law at Göttingen, he became chief magistrate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Lilienthal, </w:t>
      </w:r>
      <w:r>
        <w:rPr>
          <w:rFonts w:ascii="Times New Roman" w:eastAsia="Times New Roman" w:hAnsi="Times New Roman" w:cs="Times New Roman"/>
          <w:color w:val="000000"/>
          <w:spacing w:val="0"/>
          <w:w w:val="100"/>
          <w:position w:val="0"/>
          <w:sz w:val="19"/>
          <w:szCs w:val="19"/>
          <w:shd w:val="clear" w:color="auto" w:fill="auto"/>
          <w:lang w:val="en-US" w:eastAsia="en-US" w:bidi="en-US"/>
        </w:rPr>
        <w:t>near Bremen, in 1788. Here he built an observatory, and, equipped in 1785 by a 7-ft. reflector by Herschel, and later by a 13-ft. reflector by Johann Gottlieb Friedrich Schrader of Kiel, he made his famous observations on the surface features of the moon and planets. His work was ruined in 1813 by the French under Vandamme, who destroyed his books, writings and observatory; he never recovered from the catastrophe, and died on the 29th of August 1816.</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SCHUBART, CHRISTIAN FRIEDRICH DANIEL (1739-1791), German poet, was born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Obersontheim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Swabia (now the kingdom of Württemberg) on the 24th of March 1739, and entered the university of Erlangen in 1758 as a student of theo- logy. He led a dissolute life, and after two years’ stay was summoned home by his parents. After attempting to earn a livelihood as private tutor and as assistant preacher, his musical talents gained him the appointment of organist in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Geislingen,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subsequently in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Ludwigsburg;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but in consequence of his wild life and blasphemy, which found expression in a parody of the litany, he was expelled the country. He then visited in turn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Heilbronn,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Mannheim, Munich and Augsburg. In the last- named town he made a considerable stay, began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Deutsche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Chronik</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(1774-1778) and eked out a subsistence by reciting from the latest works of prominent poets. Owing to a bitter attack upon the Jesuits, he was expelled from Augsburg and fled to Ulm,</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where he was arrested in 1777 and confined in the fortress of Hohenasperg. Here he met with lenient treatment, and he beguiled the time by a study of mystical works and in compos- ing poetry. His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Sämtliche Gedichte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appeared in two volumes at Stuttgart in 1785-1786 (new edition by G.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Hauff,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Leipzig, 1884, in Reclam’s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Universal</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-Bibliothek)</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this collection most of the pieces are characterized by the bombast of the “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Sturm und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Drang ’’period. He was set at liberty in 1787, at the instance of Frederick the Great, king of Prussia, and expressed his gratitude in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Hymnus auf Friedrich den Grossen.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Schubart 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now appointed musical director and manager of the theatre at Stutt- gart, where he continued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Deutsche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Chronik</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began his autobiography,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Schubarts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Leben und Gesinnungen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9"/>
          <w:szCs w:val="19"/>
          <w:shd w:val="clear" w:color="auto" w:fill="auto"/>
          <w:lang w:val="fr-FR" w:eastAsia="fr-FR" w:bidi="fr-FR"/>
        </w:rPr>
        <w:t>vols.,</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1791-1793), but before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its completion he died at Stuttgart on the 10th of October 1791. His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Gesammelte Schriften und Schicksale</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appeared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8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(Stuttgart, </w:t>
      </w:r>
      <w:r>
        <w:rPr>
          <w:rFonts w:ascii="Times New Roman" w:eastAsia="Times New Roman" w:hAnsi="Times New Roman" w:cs="Times New Roman"/>
          <w:color w:val="000000"/>
          <w:spacing w:val="0"/>
          <w:w w:val="100"/>
          <w:position w:val="0"/>
          <w:sz w:val="19"/>
          <w:szCs w:val="19"/>
          <w:shd w:val="clear" w:color="auto" w:fill="auto"/>
          <w:lang w:val="en-US" w:eastAsia="en-US" w:bidi="en-US"/>
        </w:rPr>
        <w:t>1839-1840).</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See D.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 Strauss,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Schubarts </w:t>
      </w:r>
      <w:r>
        <w:rPr>
          <w:rFonts w:ascii="Times New Roman" w:eastAsia="Times New Roman" w:hAnsi="Times New Roman" w:cs="Times New Roman"/>
          <w:i/>
          <w:iCs/>
          <w:color w:val="000000"/>
          <w:spacing w:val="0"/>
          <w:w w:val="100"/>
          <w:position w:val="0"/>
          <w:shd w:val="clear" w:color="auto" w:fill="auto"/>
          <w:lang w:val="de-DE" w:eastAsia="de-DE" w:bidi="de-DE"/>
        </w:rPr>
        <w:t xml:space="preserve">Leben in seinen Briefen </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1849; 2nd ed., 1878);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de-DE" w:eastAsia="de-DE" w:bidi="de-DE"/>
        </w:rPr>
        <w:t xml:space="preserve">Hauff, </w:t>
      </w:r>
      <w:r>
        <w:rPr>
          <w:rFonts w:ascii="Times New Roman" w:eastAsia="Times New Roman" w:hAnsi="Times New Roman" w:cs="Times New Roman"/>
          <w:i/>
          <w:iCs/>
          <w:color w:val="000000"/>
          <w:spacing w:val="0"/>
          <w:w w:val="100"/>
          <w:position w:val="0"/>
          <w:shd w:val="clear" w:color="auto" w:fill="auto"/>
          <w:lang w:val="de-DE" w:eastAsia="de-DE" w:bidi="de-DE"/>
        </w:rPr>
        <w:t>Christian Daniel Schubart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(1885); </w:t>
      </w:r>
      <w:r>
        <w:rPr>
          <w:rFonts w:ascii="Times New Roman" w:eastAsia="Times New Roman" w:hAnsi="Times New Roman" w:cs="Times New Roman"/>
          <w:color w:val="000000"/>
          <w:spacing w:val="0"/>
          <w:w w:val="100"/>
          <w:position w:val="0"/>
          <w:shd w:val="clear" w:color="auto" w:fill="auto"/>
          <w:lang w:val="de-DE" w:eastAsia="de-DE" w:bidi="de-DE"/>
        </w:rPr>
        <w:t xml:space="preserve">and E. Nägele, </w:t>
      </w:r>
      <w:r>
        <w:rPr>
          <w:rFonts w:ascii="Times New Roman" w:eastAsia="Times New Roman" w:hAnsi="Times New Roman" w:cs="Times New Roman"/>
          <w:i/>
          <w:iCs/>
          <w:color w:val="000000"/>
          <w:spacing w:val="0"/>
          <w:w w:val="100"/>
          <w:position w:val="0"/>
          <w:shd w:val="clear" w:color="auto" w:fill="auto"/>
          <w:lang w:val="de-DE" w:eastAsia="de-DE" w:bidi="de-DE"/>
        </w:rPr>
        <w:t>Aus Schubarts Leben und Wirken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(1888).</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SCHUBERT, FRANZ PETER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(1797-1828),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German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composer,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born on the 31</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January 1797, in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Himmelpfort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grund, a small suburb of Vienna. His father, Franz, son of a Moravian peasant, was a parish schoolmaster; his mother, Elizabeth Fitz, had before her marriage been cook in a Viennese family. Of their fourteen children nine died in infancy; the others were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Ignaz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 1784), Ferdinand (b. 1794), Karl (b. 1796), Franz and a daughter Theresia (b. 1801). The father, a man of worth and integrity, possessed some reputation as a teacher, and his school, in the Lichtenthal, was well attended. He was also a fair amateur musician, and transmitted his own measure of skill to his two elder sons,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Ignaz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Ferdinand.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 the age of five Schubert began to receive regular instruction from his father. At six he entered the Lichtenthal school where he spent some of the happiest years of his life. About the same time his musical education began. His father taught him the rudiments of the violin, his brother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Ignaz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rudiments of the pianoforte. At seven, having outstripped these simple teachers, he was placed under the charge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Michael Holzer,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Kapell</w:t>
        <w:softHyphen/>
        <w:t>meister of the Lichtenthal Church. Holzer’s lessons seem to have consisted mainly in expressions of admiration, and the boy gained more from a friendly joiner’s apprentice, who used to take him to a neighbouring pianoforte warehouse and give him the opportunity of practising on a better instrument than the poor home could afford. The unsatisfactory character of his early train- ing was the more serious as, at that time, a composer had little chance of success unless he could appeal to the public as a per- former, and for this the meagre education was never sufficient.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October 1808 he was received as a scholar at the Convict, which, under Salieri’s direction, had become the chief music- school of Vienna, and which had the special office of training the choristers for the Court Chapel. Here he remained until nearly seventeen, profiting little by the direct instruction, which was almost as careless as that given to Haydn at St Stephen’s, but much by the practices of the school orchestra, and by associ- ation with congenial comrades. Many of the most devoted friends of his after life were among his schoolfellows: Spaun and Stadler 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Holzapfel,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a score of others who helped him out of their slender pocket-money, bought him music-paper which he could not buy for himself, and gave him loyal support and encouragement. It was at the Convict, too, that he first made acquaintance with the overtures and symphonies of Mozart—there is as yet no mention of Beethoven—and between them and lighter pieces, and occasional visits to the opera, he began to lay for himself some foundation of musical knowledge.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Meanwhile his genius was already showing itself in composition. A pianoforte fantasia, thirty-two close-written pages, is dated April 8-May 1, 1810: then followed, in 1811, three long vocal pieces written upon a plan which Zumsteeg had popularized, together with a “ quintet-overture,” a string quartet, a second pianoforte fantasia and a number of songs. His essay in chamber-music is noticeable, since we learn that at the time a regular quartet-party was established at his home “ on Sundays</w:t>
      </w:r>
    </w:p>
    <w:sectPr>
      <w:footnotePr>
        <w:pos w:val="pageBottom"/>
        <w:numFmt w:val="decimal"/>
        <w:numRestart w:val="continuous"/>
      </w:footnotePr>
      <w:pgSz w:w="12240" w:h="15840"/>
      <w:pgMar w:top="855" w:left="790" w:right="984"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5)_"/>
    <w:basedOn w:val="DefaultParagraphFont"/>
    <w:link w:val="Style7"/>
    <w:rPr>
      <w:rFonts w:ascii="Constantia" w:eastAsia="Constantia" w:hAnsi="Constantia" w:cs="Constantia"/>
      <w:b w:val="0"/>
      <w:bCs w:val="0"/>
      <w:i/>
      <w:iCs/>
      <w:smallCaps w:val="0"/>
      <w:strike w:val="0"/>
      <w:sz w:val="16"/>
      <w:szCs w:val="16"/>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 w:type="paragraph" w:customStyle="1" w:styleId="Style7">
    <w:name w:val="Body text (5)"/>
    <w:basedOn w:val="Normal"/>
    <w:link w:val="CharStyle8"/>
    <w:pPr>
      <w:widowControl w:val="0"/>
      <w:shd w:val="clear" w:color="auto" w:fill="FFFFFF"/>
      <w:spacing w:line="190" w:lineRule="auto"/>
      <w:ind w:firstLine="220"/>
      <w:jc w:val="both"/>
    </w:pPr>
    <w:rPr>
      <w:rFonts w:ascii="Constantia" w:eastAsia="Constantia" w:hAnsi="Constantia" w:cs="Constantia"/>
      <w:b w:val="0"/>
      <w:bCs w:val="0"/>
      <w:i/>
      <w:iCs/>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