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strongest towns in Silesia it was besieged several times during the 17th and 18th centuries. In 1807 it was captured by the French, who demolished the fortifications. Restored to Prussia in 1816 it was again fortified, but in 1862 the fortifications were converted into a public park.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J. Schmidt,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 Schweidnitz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Schweid</w:t>
      </w:r>
      <w:r>
        <w:rPr>
          <w:rFonts w:ascii="Times New Roman" w:eastAsia="Times New Roman" w:hAnsi="Times New Roman" w:cs="Times New Roman"/>
          <w:color w:val="000000"/>
          <w:spacing w:val="0"/>
          <w:w w:val="100"/>
          <w:position w:val="0"/>
          <w:shd w:val="clear" w:color="auto" w:fill="auto"/>
          <w:lang w:val="en-US" w:eastAsia="en-US" w:bidi="en-US"/>
        </w:rPr>
        <w:t>nitz, 1846-1848).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SCHWEIGHÄUSER,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JOHANN (1742-1830), German classical scholar, was bom at Strassburg on the 25th of June 1742. From an early age his favourite subjects were philosophy (especially Scottish moral philosophy as represented by Hutchinson and Ferguson) and Oriental languages; Greek and Latin he took up later, and although he owes his reputation to his editions of Greek authors, he was always diffident as to his classical attainments. After visiting Paris, London and the principal cities of Germany, he became assistant professor of philosophy (1770)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When the French Revolution broke out, he was banished; in 1794 he returned, and after the reorganization of the Academy in 1809 was appointed professor of Greek. He resigned his post in 1824, and died on the 19th of January 1830.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Johann Gottfried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(1776-1844), was also a distin</w:t>
        <w:softHyphen/>
        <w:t xml:space="preserve">guished scholar and archaeologist, joint-author with M. Golbéry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Antiquités de l’Alsace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Schweighäuser’s first important work was his edition of Appian (1785), with Latin translation and commentary, and an account of the MSS. On Brunck's recommendation, he had collated an Augs</w:t>
        <w:softHyphen/>
        <w:t xml:space="preserve">burg MS. of Appian for Samuel Musgrave, who was preparing an edition of that author, and after Musgrave’s death he felt it a duty to complete it. His Polybius, with translation, notes and special lexicon, appeared in 1789-1795. But his chief work is his edition of Athenaeus (1801-1807), in fourteen volumes, one of the Bipont editions. His Herodotus (1816; lexicon, 1824) is less successful; he depends too much on earlier editions and inferior MSS., and lacks the finer scholarship necessary in dealing with such an author. Mention may also be made of his </w:t>
      </w:r>
      <w:r>
        <w:rPr>
          <w:rFonts w:ascii="Times New Roman" w:eastAsia="Times New Roman" w:hAnsi="Times New Roman" w:cs="Times New Roman"/>
          <w:i/>
          <w:iCs/>
          <w:color w:val="000000"/>
          <w:spacing w:val="0"/>
          <w:w w:val="100"/>
          <w:position w:val="0"/>
          <w:shd w:val="clear" w:color="auto" w:fill="auto"/>
          <w:lang w:val="en-US" w:eastAsia="en-US" w:bidi="en-US"/>
        </w:rPr>
        <w:t>Encheiridion</w:t>
      </w:r>
      <w:r>
        <w:rPr>
          <w:rFonts w:ascii="Times New Roman" w:eastAsia="Times New Roman" w:hAnsi="Times New Roman" w:cs="Times New Roman"/>
          <w:color w:val="000000"/>
          <w:spacing w:val="0"/>
          <w:w w:val="100"/>
          <w:position w:val="0"/>
          <w:shd w:val="clear" w:color="auto" w:fill="auto"/>
          <w:lang w:val="en-US" w:eastAsia="en-US" w:bidi="en-US"/>
        </w:rPr>
        <w:t xml:space="preserve"> of Epictetus and </w:t>
      </w:r>
      <w:r>
        <w:rPr>
          <w:rFonts w:ascii="Times New Roman" w:eastAsia="Times New Roman" w:hAnsi="Times New Roman" w:cs="Times New Roman"/>
          <w:i/>
          <w:iCs/>
          <w:color w:val="000000"/>
          <w:spacing w:val="0"/>
          <w:w w:val="100"/>
          <w:position w:val="0"/>
          <w:shd w:val="clear" w:color="auto" w:fill="auto"/>
          <w:lang w:val="en-US" w:eastAsia="en-US" w:bidi="en-US"/>
        </w:rPr>
        <w:t>Tabula</w:t>
      </w:r>
      <w:r>
        <w:rPr>
          <w:rFonts w:ascii="Times New Roman" w:eastAsia="Times New Roman" w:hAnsi="Times New Roman" w:cs="Times New Roman"/>
          <w:color w:val="000000"/>
          <w:spacing w:val="0"/>
          <w:w w:val="100"/>
          <w:position w:val="0"/>
          <w:shd w:val="clear" w:color="auto" w:fill="auto"/>
          <w:lang w:val="en-US" w:eastAsia="en-US" w:bidi="en-US"/>
        </w:rPr>
        <w:t xml:space="preserve"> of Cebes (1798), which appeared at the time when the doctrines of the Stoics were fashionable; the letters of Seneca to Lucilius (1809); corrections and notes to Suïdas (1789); some moral philosophy essays. His minor works are collected in his </w:t>
      </w:r>
      <w:r>
        <w:rPr>
          <w:rFonts w:ascii="Times New Roman" w:eastAsia="Times New Roman" w:hAnsi="Times New Roman" w:cs="Times New Roman"/>
          <w:i/>
          <w:iCs/>
          <w:color w:val="000000"/>
          <w:spacing w:val="0"/>
          <w:w w:val="100"/>
          <w:position w:val="0"/>
          <w:shd w:val="clear" w:color="auto" w:fill="auto"/>
          <w:lang w:val="en-US" w:eastAsia="en-US" w:bidi="en-US"/>
        </w:rPr>
        <w:t>Opuscula academica</w:t>
      </w:r>
      <w:r>
        <w:rPr>
          <w:rFonts w:ascii="Times New Roman" w:eastAsia="Times New Roman" w:hAnsi="Times New Roman" w:cs="Times New Roman"/>
          <w:color w:val="000000"/>
          <w:spacing w:val="0"/>
          <w:w w:val="100"/>
          <w:position w:val="0"/>
          <w:shd w:val="clear" w:color="auto" w:fill="auto"/>
          <w:lang w:val="en-US" w:eastAsia="en-US" w:bidi="en-US"/>
        </w:rPr>
        <w:t xml:space="preserve"> (1806).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monographs by J. G. Dahler, C. L. Cuvier, F. J. Stiévenart (all 1830), L. </w:t>
      </w:r>
      <w:r>
        <w:rPr>
          <w:rFonts w:ascii="Times New Roman" w:eastAsia="Times New Roman" w:hAnsi="Times New Roman" w:cs="Times New Roman"/>
          <w:color w:val="000000"/>
          <w:spacing w:val="0"/>
          <w:w w:val="100"/>
          <w:position w:val="0"/>
          <w:shd w:val="clear" w:color="auto" w:fill="auto"/>
          <w:lang w:val="de-DE" w:eastAsia="de-DE" w:bidi="de-DE"/>
        </w:rPr>
        <w:t xml:space="preserve">Spach </w:t>
      </w:r>
      <w:r>
        <w:rPr>
          <w:rFonts w:ascii="Times New Roman" w:eastAsia="Times New Roman" w:hAnsi="Times New Roman" w:cs="Times New Roman"/>
          <w:color w:val="000000"/>
          <w:spacing w:val="0"/>
          <w:w w:val="100"/>
          <w:position w:val="0"/>
          <w:shd w:val="clear" w:color="auto" w:fill="auto"/>
          <w:lang w:val="en-US" w:eastAsia="en-US" w:bidi="en-US"/>
        </w:rPr>
        <w:t>(1868), Ch. Rabany (1884), the two last containing an account of both father and son.</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SCHWEINFURT, a </w:t>
      </w:r>
      <w:r>
        <w:rPr>
          <w:rFonts w:ascii="Times New Roman" w:eastAsia="Times New Roman" w:hAnsi="Times New Roman" w:cs="Times New Roman"/>
          <w:color w:val="000000"/>
          <w:spacing w:val="0"/>
          <w:w w:val="100"/>
          <w:position w:val="0"/>
          <w:sz w:val="19"/>
          <w:szCs w:val="19"/>
          <w:shd w:val="clear" w:color="auto" w:fill="auto"/>
          <w:lang w:val="en-US" w:eastAsia="en-US" w:bidi="en-US"/>
        </w:rPr>
        <w:t>town of Germany, in the kingdom of Bavaria, situated on the right bank of the Main, which is here spanned by several bridges, 27 m. N.E. of Würzburg by rail, and at the junction of lines to Kissingen, Bamberg and Gemünden. Pop. (1905) 18,416. The Renaissance town-hall in the spacious market-place dates from 1570; it contains a library and a collection of antiquities. St John’s church is a Gothic edifice with a lofty tower ; St Salvator’s was built about 1720. Schweinfurt is well furnished with benevolent and educational institutions, including a gymnasium originally founded by Gustavus Adolphus in 1631, and rebuilt in 1881. The chief manufacture is paint (“ Schweinfurt green ” is a well-known brand in Germany), introduced in 1809; but beer, sugar, machinery, soap and other drysalteries, straw-paper and vinegar are also produced. Cotton- spinning and bell-founding are carried on, and the Main supplies water-power for numerous saw, flour and other mills. Schwein</w:t>
        <w:softHyphen/>
        <w:t>furt carries on an active trade in the grain, fruit and wine pro</w:t>
        <w:softHyphen/>
        <w:t>duced in its neighbourhood, and it is the seat of an important sheep and cattle market. A monument was erected in 1900 to Friedrich Rückert the poet (1788-1866).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Schweinfurt is mentioned in 790, and in the 10th century was the seat of a margrave. It fell later to the counts of Henneberg; but, receiving civic rights in the 13th century, it maintained its independence as a free imperial city with few interruptions until 1803, when it passed to Bavaria. Assigned to the grand duke of Würzburg in 1810, it was restored to Bavaria in 1814. In the Thirty Years’ War it was occupied by Gustavus Adolphus, who erected fortifications, remains of which are still extant.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Beck,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Chronik der Stadt </w:t>
      </w:r>
      <w:r>
        <w:rPr>
          <w:rFonts w:ascii="Times New Roman" w:eastAsia="Times New Roman" w:hAnsi="Times New Roman" w:cs="Times New Roman"/>
          <w:i/>
          <w:iCs/>
          <w:color w:val="000000"/>
          <w:spacing w:val="0"/>
          <w:w w:val="100"/>
          <w:position w:val="0"/>
          <w:shd w:val="clear" w:color="auto" w:fill="auto"/>
          <w:lang w:val="en-US" w:eastAsia="en-US" w:bidi="en-US"/>
        </w:rPr>
        <w:t>Schweinfurt</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Schweinfurt, 1836-1841); and Stein,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Reichstadt </w:t>
      </w:r>
      <w:r>
        <w:rPr>
          <w:rFonts w:ascii="Times New Roman" w:eastAsia="Times New Roman" w:hAnsi="Times New Roman" w:cs="Times New Roman"/>
          <w:i/>
          <w:iCs/>
          <w:color w:val="000000"/>
          <w:spacing w:val="0"/>
          <w:w w:val="100"/>
          <w:position w:val="0"/>
          <w:shd w:val="clear" w:color="auto" w:fill="auto"/>
          <w:lang w:val="en-US" w:eastAsia="en-US" w:bidi="en-US"/>
        </w:rPr>
        <w:t>Schweinfurt</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Schweinfurt, 1900).</w:t>
      </w:r>
    </w:p>
    <w:p>
      <w:pPr>
        <w:pStyle w:val="Style3"/>
        <w:keepNext w:val="0"/>
        <w:keepLines w:val="0"/>
        <w:widowControl w:val="0"/>
        <w:shd w:val="clear" w:color="auto" w:fill="auto"/>
        <w:tabs>
          <w:tab w:pos="4197" w:val="left"/>
        </w:tabs>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SCHWEINFURTH,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GEORG AUGUST (1836-</w:t>
        <w:tab/>
        <w:t>), German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traveller in East Central Africa and ethnologist, was born at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Riga on the 29th of December 1836. He was educated at the universities of Heidelberg, Munich and Berlin (1856-1862), where he particularly devoted himself to botany and palaeon</w:t>
        <w:softHyphen/>
        <w:t xml:space="preserve">tology. Commissioned to arrange the collections brought from the Sudan by Freiherr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Barnim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Dr Hartmann, his attention was directed to that region; and in 1863 he travelled round the shores of the Red Sea, repeatedly traversed the district between that sea and the Nile, passed on to Khartum, and returned to Europe in 1866. His researches attracted so much attention that in 1868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Humboldt-Stiftung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Berlin entrusted him with an important scientific mission to the interior of East Africa. Starting from Khartum in January 1869, he went up the White Nile to Bahr-el-Ghazal, and then, with a party of ivory dealers, through the regions inhabited by the Diur (Dyoor), Dinka, Bongo and Niam-Niam; crossing the Nile watershed he entered the country of the Mangbettu (Monbuttu) and discovered the river Welle (19th of March 1870), which by its westward flow he knew was independent of the Nile. Schweinfurth formed the conclusion that it belonged to the Chad system, and it was several years before its connexion with the Congo was demonstrated. The discovery of the Welle was Schweinfurth’s greatest geographical achievement, though he did much to elucidate the hydrography of the Bahr-el-Ghazal system. Of greater importance were the very considerable additions he made to the knowledge of the inhabitants and of the flora and fauna of Central Africa. He described in detail the cannibalistic practices of the Mangbettu, and his discovery of the pygmy Akka settled conclusively the question as to the existence of dwarf races in tropical Africa. Unfortunately nearly all his collections made up to that date were destroyed by a fire in his camp in December 1870. He returned to Khartum in July 1871 and published an account of the expedition, under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Im Herzen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von Afrika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(Leipzig, 1874; English edition,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Heart of Africa,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1873, new ed. 1878). In 1873-1874 he accom- panied Gerhard Rohlfs in his expedition into the Libyan Desert. Settling at Cairo in 1875, he founded a geographical society, under the auspices of the khedive Ismail, and devoted himself almost exclusively to African studies, historical and ethnographical. In 1876 he penetrated into the Arabian Desert with Paul Güssfeldt, and continued his explorations therein at intervals until 1888, and during the same period made geological and botanical investigations in the Fayum, in the valley of the Nile, &amp;c. In 1889 he removed to Berlin; but he visited the Italian colony of Eritrea in 1891, 1892 and 1894.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accounts of all his travels and researches have appeared either in book or pamphlet form or in periodicals, such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Petermanns </w:t>
      </w:r>
      <w:r>
        <w:rPr>
          <w:rFonts w:ascii="Times New Roman" w:eastAsia="Times New Roman" w:hAnsi="Times New Roman" w:cs="Times New Roman"/>
          <w:i/>
          <w:iCs/>
          <w:color w:val="000000"/>
          <w:spacing w:val="0"/>
          <w:w w:val="100"/>
          <w:position w:val="0"/>
          <w:shd w:val="clear" w:color="auto" w:fill="auto"/>
          <w:lang w:val="de-DE" w:eastAsia="de-DE" w:bidi="de-DE"/>
        </w:rPr>
        <w:t>Mitteilungen,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Zeitschrift für Erdkunde,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Among his works may be mentioned </w:t>
      </w:r>
      <w:r>
        <w:rPr>
          <w:rFonts w:ascii="Times New Roman" w:eastAsia="Times New Roman" w:hAnsi="Times New Roman" w:cs="Times New Roman"/>
          <w:i/>
          <w:iCs/>
          <w:color w:val="000000"/>
          <w:spacing w:val="0"/>
          <w:w w:val="100"/>
          <w:position w:val="0"/>
          <w:shd w:val="clear" w:color="auto" w:fill="auto"/>
          <w:lang w:val="en-US" w:eastAsia="en-US" w:bidi="en-US"/>
        </w:rPr>
        <w:t>Artes Africanae; Illustrations and Descriptions of Productions of the Industrial Arts of Central African Tribes</w:t>
      </w:r>
      <w:r>
        <w:rPr>
          <w:rFonts w:ascii="Times New Roman" w:eastAsia="Times New Roman" w:hAnsi="Times New Roman" w:cs="Times New Roman"/>
          <w:color w:val="000000"/>
          <w:spacing w:val="0"/>
          <w:w w:val="100"/>
          <w:position w:val="0"/>
          <w:shd w:val="clear" w:color="auto" w:fill="auto"/>
          <w:lang w:val="en-US" w:eastAsia="en-US" w:bidi="en-US"/>
        </w:rPr>
        <w:t xml:space="preserve"> (1875).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SCHWEITZER, JEAN BAPTISTA VON (1833-1875), German politician and dramatic poet, was born at Frankfort-on-the-Main on the 12th of July 1833, of an old aristocratic Catholic family. He studied law at Berlin and Heidelberg, and afterwards practised in his native city. He was, however, from the first more in</w:t>
        <w:softHyphen/>
        <w:t xml:space="preserve">terested in politics and literature than in law. He was attracted by the social democratic labour movement, and after the death of Ferdinand Lassalle in 1864, he became president of the “ General Working-men’s Union of Germany,’’ and in this capacity edited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Sozialdemokrat,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brought him into frequent trouble with the Prussian government. In 1867 he was elected to the parliament of the North German Federation, and on his failure to secure election to the German Reichstag in 1871, he resigned the presidency of the Labour Union, and retired from political life. Schweitzer composed a number of dramas and comedies, of which several for a while had considerable success. Among them may be mentioned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(Frankfort, 1858);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Friedrich Barbarossa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(Frankfort, 1858);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Canossa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(Berlin, 1872);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Darwinianer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(Frankfort, 1875);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Eidechse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(Frankfort, 1876);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Epidemisch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(Frankfort, 1876). He also wrote one political novel,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Lucinde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oder Kapital und Arbeit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(Frankfort,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1864).</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