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to 22,627 (males 14,448), of whom 10,373 were of Russian nationality, 4051 of Italian, and 3232 of German.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IV. shows the nationalities of the people in 1891 and 1901.</w:t>
      </w:r>
    </w:p>
    <w:tbl>
      <w:tblPr>
        <w:tblOverlap w:val="never"/>
        <w:jc w:val="left"/>
        <w:tblLayout w:type="fixed"/>
      </w:tblPr>
      <w:tblGrid>
        <w:gridCol w:w="1574"/>
        <w:gridCol w:w="778"/>
        <w:gridCol w:w="946"/>
        <w:gridCol w:w="782"/>
        <w:gridCol w:w="960"/>
      </w:tblGrid>
      <w:tr>
        <w:trPr>
          <w:trHeight w:val="235"/>
        </w:trPr>
        <w:tc>
          <w:tcPr>
            <w:gridSpan w:val="5"/>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IV.—</w:t>
            </w:r>
            <w:r>
              <w:rPr>
                <w:rFonts w:ascii="Times New Roman" w:eastAsia="Times New Roman" w:hAnsi="Times New Roman" w:cs="Times New Roman"/>
                <w:i/>
                <w:iCs/>
                <w:color w:val="000000"/>
                <w:spacing w:val="0"/>
                <w:w w:val="100"/>
                <w:position w:val="0"/>
                <w:shd w:val="clear" w:color="auto" w:fill="auto"/>
                <w:lang w:val="en-US" w:eastAsia="en-US" w:bidi="en-US"/>
              </w:rPr>
              <w:t>Illustrating Nationalities in 1891 and 1901.</w:t>
            </w:r>
          </w:p>
        </w:tc>
      </w:tr>
      <w:tr>
        <w:trPr>
          <w:trHeight w:val="298"/>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Born.</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Scotland, 1891.</w:t>
            </w:r>
          </w:p>
        </w:tc>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Scotland, 1901.</w:t>
            </w:r>
          </w:p>
        </w:tc>
      </w:tr>
      <w:tr>
        <w:trPr>
          <w:trHeight w:val="470"/>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7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Percentage of Pop.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Percentage of Pop.</w:t>
            </w:r>
          </w:p>
        </w:tc>
      </w:tr>
      <w:tr>
        <w:trPr>
          <w:trHeight w:val="24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Scotland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3,698,700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4.085.755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91∙361</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Ireland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184,807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205,064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4∙585</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England</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108,736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131,350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2∙937</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Wales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o∙o6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2.673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0∙060</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Isle of Man and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Channel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o∙o24</w:t>
            </w:r>
          </w:p>
        </w:tc>
      </w:tr>
      <w:tr>
        <w:trPr>
          <w:trHeight w:val="144"/>
        </w:trPr>
        <w:tc>
          <w:tcPr>
            <w:tcBorders>
              <w:left w:val="single" w:sz="4"/>
            </w:tcBorders>
            <w:shd w:val="clear" w:color="auto" w:fill="FFFFFF"/>
            <w:vAlign w:val="bottom"/>
          </w:tcPr>
          <w:p>
            <w:pPr>
              <w:pStyle w:val="Style6"/>
              <w:keepNext w:val="0"/>
              <w:keepLines w:val="0"/>
              <w:widowControl w:val="0"/>
              <w:shd w:val="clear" w:color="auto" w:fill="auto"/>
              <w:tabs>
                <w:tab w:pos="96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Islands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British Colonies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13,607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15,907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0·355</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British born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trPr>
        <w:tc>
          <w:tcPr>
            <w:tcBorders>
              <w:left w:val="single" w:sz="4"/>
            </w:tcBorders>
            <w:shd w:val="clear" w:color="auto" w:fill="FFFFFF"/>
            <w:vAlign w:val="bottom"/>
          </w:tcPr>
          <w:p>
            <w:pPr>
              <w:pStyle w:val="Style6"/>
              <w:keepNext w:val="0"/>
              <w:keepLines w:val="0"/>
              <w:widowControl w:val="0"/>
              <w:shd w:val="clear" w:color="auto" w:fill="auto"/>
              <w:tabs>
                <w:tab w:pos="1327" w:val="left"/>
              </w:tabs>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abroad, by naturalization</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8,051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12,642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o∙283</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tabs>
                <w:tab w:pos="12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at sea</w:t>
              <w:tab/>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Foreigners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17,654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0·395</w:t>
            </w:r>
          </w:p>
        </w:tc>
      </w:tr>
      <w:tr>
        <w:trPr>
          <w:trHeight w:val="288"/>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4,025,647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4,472,103</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r>
    </w:tbl>
    <w:p>
      <w:pPr>
        <w:pStyle w:val="Style15"/>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Table V. gives the number of persons, exclusive of children under three years of age, who spoke Gaelic only, and Gaelic and English, with their percentages to the population in 1901. The counties in which the highest percentages obtained of persons speaking Gaelic only were Ross and Cromarty with 15∙92% (12,171 persons) and Inverness with 13∙01% (11,722 persons). But in no fewer than eighteen counties the proportion of Gaelic-speaking persons was under 1%.</w:t>
      </w:r>
    </w:p>
    <w:tbl>
      <w:tblPr>
        <w:tblOverlap w:val="never"/>
        <w:jc w:val="left"/>
        <w:tblLayout w:type="fixed"/>
      </w:tblPr>
      <w:tblGrid>
        <w:gridCol w:w="1723"/>
        <w:gridCol w:w="1032"/>
        <w:gridCol w:w="970"/>
        <w:gridCol w:w="965"/>
        <w:gridCol w:w="970"/>
        <w:gridCol w:w="965"/>
      </w:tblGrid>
      <w:tr>
        <w:trPr>
          <w:trHeight w:val="432"/>
        </w:trPr>
        <w:tc>
          <w:tcPr>
            <w:gridSpan w:val="6"/>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V.—</w:t>
            </w:r>
            <w:r>
              <w:rPr>
                <w:rFonts w:ascii="Times New Roman" w:eastAsia="Times New Roman" w:hAnsi="Times New Roman" w:cs="Times New Roman"/>
                <w:i/>
                <w:iCs/>
                <w:color w:val="000000"/>
                <w:spacing w:val="0"/>
                <w:w w:val="100"/>
                <w:position w:val="0"/>
                <w:shd w:val="clear" w:color="auto" w:fill="auto"/>
                <w:lang w:val="en-US" w:eastAsia="en-US" w:bidi="en-US"/>
              </w:rPr>
              <w:t>Showing Number of Persons aged three years and upwards speaking</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Gaelic only and Gaelic and English in 1901.</w:t>
            </w:r>
          </w:p>
        </w:tc>
      </w:tr>
      <w:tr>
        <w:trPr>
          <w:trHeight w:val="45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Population.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Gaelic only.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Percentage.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Gaelic and</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English.</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Percentage.</w:t>
            </w:r>
          </w:p>
        </w:tc>
      </w:tr>
      <w:tr>
        <w:trPr>
          <w:trHeight w:val="31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Scotland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4,472,103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28,106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202·700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4·53</w:t>
            </w:r>
          </w:p>
        </w:tc>
      </w:tr>
      <w:tr>
        <w:trPr>
          <w:trHeight w:val="24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Northern portion</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1,753,470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27.854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160,915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9∙18</w:t>
            </w:r>
          </w:p>
        </w:tc>
      </w:tr>
      <w:tr>
        <w:trPr>
          <w:trHeight w:val="22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Southern portion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2,718,633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0∙01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41,785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1·54</w:t>
            </w:r>
          </w:p>
        </w:tc>
      </w:tr>
      <w:tr>
        <w:trPr>
          <w:trHeight w:val="24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Northern division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112,175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17,084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15∙23</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North-western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166,554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23.893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82,573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49·58</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North-eastern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460,941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5325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Ï·IÏ</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East-midland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665,215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13,818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2∙o6</w:t>
            </w:r>
          </w:p>
        </w:tc>
      </w:tr>
      <w:tr>
        <w:trPr>
          <w:trHeight w:val="16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West-midland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348.585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42,315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12∙14</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South-western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1,862,775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0·01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34,289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South-eastern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662,415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w:t>
            </w:r>
          </w:p>
        </w:tc>
      </w:tr>
      <w:tr>
        <w:trPr>
          <w:trHeight w:val="221"/>
        </w:trPr>
        <w:tc>
          <w:tcPr>
            <w:tcBorders>
              <w:left w:val="single" w:sz="4"/>
              <w:bottom w:val="single" w:sz="4"/>
            </w:tcBorders>
            <w:shd w:val="clear" w:color="auto" w:fill="FFFFFF"/>
            <w:vAlign w:val="top"/>
          </w:tcPr>
          <w:p>
            <w:pPr>
              <w:pStyle w:val="Style6"/>
              <w:keepNext w:val="0"/>
              <w:keepLines w:val="0"/>
              <w:widowControl w:val="0"/>
              <w:shd w:val="clear" w:color="auto" w:fill="auto"/>
              <w:tabs>
                <w:tab w:pos="12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Southern</w:t>
              <w:tab/>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193,443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494</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o∙26</w:t>
            </w:r>
          </w:p>
        </w:tc>
      </w:tr>
    </w:tbl>
    <w:p>
      <w:pPr>
        <w:pStyle w:val="Style15"/>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Vital Statistics.—</w:t>
      </w:r>
      <w:r>
        <w:rPr>
          <w:rFonts w:ascii="Times New Roman" w:eastAsia="Times New Roman" w:hAnsi="Times New Roman" w:cs="Times New Roman"/>
          <w:color w:val="000000"/>
          <w:spacing w:val="0"/>
          <w:w w:val="100"/>
          <w:position w:val="0"/>
          <w:shd w:val="clear" w:color="auto" w:fill="auto"/>
          <w:lang w:val="en-US" w:eastAsia="en-US" w:bidi="en-US"/>
        </w:rPr>
        <w:t>In Table VI. is shown the number of births, deaths, marriages and illegitimate births for the decades ending 1870, 1880, 1890 and 1900.</w:t>
      </w:r>
    </w:p>
    <w:p>
      <w:pPr>
        <w:pStyle w:val="Style15"/>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Table VII. gives the percentages to the population of the births, deaths and marriages in the four decades specified, along with the ratio of illegitimacy to the total number of births in the same periods.</w:t>
      </w:r>
    </w:p>
    <w:tbl>
      <w:tblPr>
        <w:tblOverlap w:val="never"/>
        <w:jc w:val="left"/>
        <w:tblLayout w:type="fixed"/>
      </w:tblPr>
      <w:tblGrid>
        <w:gridCol w:w="1214"/>
        <w:gridCol w:w="965"/>
        <w:gridCol w:w="946"/>
        <w:gridCol w:w="950"/>
        <w:gridCol w:w="941"/>
      </w:tblGrid>
      <w:tr>
        <w:trPr>
          <w:trHeight w:val="422"/>
        </w:trPr>
        <w:tc>
          <w:tcPr>
            <w:gridSpan w:val="5"/>
            <w:tcBorders>
              <w:left w:val="single" w:sz="4"/>
            </w:tcBorders>
            <w:shd w:val="clear" w:color="auto" w:fill="FFFFFF"/>
            <w:vAlign w:val="top"/>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VI.—</w:t>
            </w:r>
            <w:r>
              <w:rPr>
                <w:rFonts w:ascii="Times New Roman" w:eastAsia="Times New Roman" w:hAnsi="Times New Roman" w:cs="Times New Roman"/>
                <w:i/>
                <w:iCs/>
                <w:color w:val="000000"/>
                <w:spacing w:val="0"/>
                <w:w w:val="100"/>
                <w:position w:val="0"/>
                <w:shd w:val="clear" w:color="auto" w:fill="auto"/>
                <w:lang w:val="en-US" w:eastAsia="en-US" w:bidi="en-US"/>
              </w:rPr>
              <w:t>Births, Deaths, Marriages and Illegitimate Births, 1861-1900.</w:t>
            </w:r>
          </w:p>
        </w:tc>
      </w:tr>
      <w:tr>
        <w:trPr>
          <w:trHeight w:val="45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1861-1870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(inclusive).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1871-1880</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(inclusive).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1881-1890</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(inclusive).</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1891-1900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(inclusive).</w:t>
            </w:r>
          </w:p>
        </w:tc>
      </w:tr>
      <w:tr>
        <w:trPr>
          <w:trHeight w:val="61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Births</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Deaths</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Marriages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1,120,791</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706,195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224,222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1,232,311</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763,948</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253,550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1,251,930</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743,582</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259.388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1,280,044</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781,860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298,664</w:t>
            </w:r>
          </w:p>
        </w:tc>
      </w:tr>
      <w:tr>
        <w:trPr>
          <w:trHeight w:val="427"/>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Illegitimate births .</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110,061</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108,260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102,128</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90,981</w:t>
            </w:r>
          </w:p>
        </w:tc>
      </w:tr>
    </w:tbl>
    <w:p>
      <w:pPr>
        <w:pStyle w:val="Style3"/>
        <w:keepNext w:val="0"/>
        <w:keepLines w:val="0"/>
        <w:widowControl w:val="0"/>
        <w:shd w:val="clear" w:color="auto" w:fill="auto"/>
        <w:bidi w:val="0"/>
        <w:spacing w:line="182"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counties in which the highest percentages of illegitimate births were found were Wigtown, Dumfries, Kirkcudbright and Peebles in the south ; Elgin, Banff and Aberdeen in the north-east, and Caith</w:t>
        <w:softHyphen/>
        <w:t>ness in the north ; the shires showing the lowest percentages were Clackmannan, Dumbarton and Shetland.</w:t>
      </w:r>
    </w:p>
    <w:tbl>
      <w:tblPr>
        <w:tblOverlap w:val="never"/>
        <w:jc w:val="left"/>
        <w:tblLayout w:type="fixed"/>
      </w:tblPr>
      <w:tblGrid>
        <w:gridCol w:w="1224"/>
        <w:gridCol w:w="960"/>
        <w:gridCol w:w="950"/>
        <w:gridCol w:w="946"/>
        <w:gridCol w:w="917"/>
      </w:tblGrid>
      <w:tr>
        <w:trPr>
          <w:trHeight w:val="418"/>
        </w:trPr>
        <w:tc>
          <w:tcPr>
            <w:gridSpan w:val="5"/>
            <w:tcBorders>
              <w:left w:val="single" w:sz="4"/>
            </w:tcBorders>
            <w:shd w:val="clear" w:color="auto" w:fill="FFFFFF"/>
            <w:vAlign w:val="top"/>
          </w:tcPr>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VII.—</w:t>
            </w:r>
            <w:r>
              <w:rPr>
                <w:rFonts w:ascii="Times New Roman" w:eastAsia="Times New Roman" w:hAnsi="Times New Roman" w:cs="Times New Roman"/>
                <w:i/>
                <w:iCs/>
                <w:color w:val="000000"/>
                <w:spacing w:val="0"/>
                <w:w w:val="100"/>
                <w:position w:val="0"/>
                <w:shd w:val="clear" w:color="auto" w:fill="auto"/>
                <w:lang w:val="en-US" w:eastAsia="en-US" w:bidi="en-US"/>
              </w:rPr>
              <w:t>Birth, Death and Marriage Ratio, 1861-1900, and Percentages of Illegitimacy to total Births.</w:t>
            </w:r>
          </w:p>
        </w:tc>
      </w:tr>
      <w:tr>
        <w:trPr>
          <w:trHeight w:val="45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Rate.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1861-1870</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(inclusive).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1871-1880</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(inclusive).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1881-1890 (inclusive).</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1891-1900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(inclusive).</w:t>
            </w:r>
          </w:p>
        </w:tc>
      </w:tr>
      <w:tr>
        <w:trPr>
          <w:trHeight w:val="23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Birth</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3∙01</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Death</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w:t>
            </w:r>
          </w:p>
        </w:tc>
      </w:tr>
      <w:tr>
        <w:trPr>
          <w:trHeight w:val="23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Marriage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o∙7o</w:t>
            </w:r>
          </w:p>
        </w:tc>
      </w:tr>
      <w:tr>
        <w:trPr>
          <w:trHeight w:val="55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Percentages</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illegitamate births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8∙15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7∙11</w:t>
            </w:r>
          </w:p>
        </w:tc>
      </w:tr>
      <w:tr>
        <w:trPr>
          <w:trHeight w:val="346"/>
        </w:trPr>
        <w:tc>
          <w:tcPr>
            <w:tcBorders>
              <w:left w:val="single" w:sz="4"/>
              <w:bottom w:val="single" w:sz="4"/>
            </w:tcBorders>
            <w:shd w:val="clear" w:color="auto" w:fill="FFFFFF"/>
            <w:vAlign w:val="top"/>
          </w:tcPr>
          <w:p>
            <w:pPr>
              <w:pStyle w:val="Style6"/>
              <w:keepNext w:val="0"/>
              <w:keepLines w:val="0"/>
              <w:widowControl w:val="0"/>
              <w:shd w:val="clear" w:color="auto" w:fill="auto"/>
              <w:tabs>
                <w:tab w:pos="953" w:val="left"/>
              </w:tabs>
              <w:bidi w:val="0"/>
              <w:spacing w:line="185" w:lineRule="auto"/>
              <w:ind w:left="0" w:firstLine="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total births</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J</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Occupations of the People.—</w:t>
      </w:r>
      <w:r>
        <w:rPr>
          <w:rFonts w:ascii="Times New Roman" w:eastAsia="Times New Roman" w:hAnsi="Times New Roman" w:cs="Times New Roman"/>
          <w:color w:val="000000"/>
          <w:spacing w:val="0"/>
          <w:w w:val="100"/>
          <w:position w:val="0"/>
          <w:shd w:val="clear" w:color="auto" w:fill="auto"/>
          <w:lang w:val="en-US" w:eastAsia="en-US" w:bidi="en-US"/>
        </w:rPr>
        <w:t>Table VIII. divides the people according to occupations. The most noteworthy feature in this connexion is the great diminution that took place within the intercensal period (1891-1901) in the unproductive class, which to some extent accounts for the increase in the number of the industrial and commercial classes.</w:t>
      </w:r>
    </w:p>
    <w:p>
      <w:pPr>
        <w:pStyle w:val="Style15"/>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Poor Relief.—</w:t>
      </w:r>
      <w:r>
        <w:rPr>
          <w:rFonts w:ascii="Times New Roman" w:eastAsia="Times New Roman" w:hAnsi="Times New Roman" w:cs="Times New Roman"/>
          <w:color w:val="000000"/>
          <w:spacing w:val="0"/>
          <w:w w:val="100"/>
          <w:position w:val="0"/>
          <w:sz w:val="19"/>
          <w:szCs w:val="19"/>
          <w:shd w:val="clear" w:color="auto" w:fill="auto"/>
          <w:lang w:val="en-US" w:eastAsia="en-US" w:bidi="en-US"/>
        </w:rPr>
        <w:t>Before the Reformation, relief of the poor had been the duty of the Church, for early legislation aimed at suppressing rather than aiding poverty. Those, indeed, who were absolutely dependent on alms might receive a licence to beg within the bounds of their own parish, but the able- bodied poor were severely dealt with. The act of 1579 directed the magistrates in towns and the justices in rural parishes to propose</w:t>
      </w:r>
    </w:p>
    <w:p>
      <w:pPr>
        <w:pStyle w:val="Style15"/>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 register of the aged and impotent poor and to levy a tax on the inhabitants of every parish for their support. One consequence of the denial of relief to the able-bodied was that the workhouse, so familiar in the English poor-law system, was not established in Scotland, though almshouses are found in many</w:t>
      </w:r>
    </w:p>
    <w:tbl>
      <w:tblPr>
        <w:tblOverlap w:val="never"/>
        <w:jc w:val="left"/>
        <w:tblLayout w:type="fixed"/>
      </w:tblPr>
      <w:tblGrid>
        <w:gridCol w:w="1709"/>
        <w:gridCol w:w="878"/>
        <w:gridCol w:w="864"/>
        <w:gridCol w:w="864"/>
        <w:gridCol w:w="859"/>
        <w:gridCol w:w="864"/>
        <w:gridCol w:w="869"/>
        <w:gridCol w:w="782"/>
        <w:gridCol w:w="782"/>
        <w:gridCol w:w="773"/>
        <w:gridCol w:w="758"/>
      </w:tblGrid>
      <w:tr>
        <w:trPr>
          <w:trHeight w:val="230"/>
        </w:trPr>
        <w:tc>
          <w:tcPr>
            <w:gridSpan w:val="11"/>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VIII.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Occupation of the People in 1891 and 1901.</w:t>
            </w:r>
          </w:p>
        </w:tc>
      </w:tr>
      <w:tr>
        <w:trPr>
          <w:trHeight w:val="456"/>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Occupations.</w:t>
            </w:r>
          </w:p>
        </w:tc>
        <w:tc>
          <w:tcPr>
            <w:gridSpan w:val="6"/>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engaged in each Class of Occupation.</w:t>
            </w:r>
          </w:p>
        </w:tc>
        <w:tc>
          <w:tcPr>
            <w:gridSpan w:val="4"/>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Percentage engaged in each Class of Occupation.</w:t>
            </w:r>
          </w:p>
        </w:tc>
      </w:tr>
      <w:tr>
        <w:trPr>
          <w:trHeight w:val="312"/>
        </w:trPr>
        <w:tc>
          <w:tcPr>
            <w:vMerge/>
            <w:tcBorders>
              <w:left w:val="single" w:sz="4"/>
            </w:tcBorders>
            <w:shd w:val="clear" w:color="auto" w:fill="FFFFFF"/>
            <w:vAlign w:val="center"/>
          </w:tcPr>
          <w:p>
            <w:pP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r>
      <w:tr>
        <w:trPr>
          <w:trHeight w:val="312"/>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Females.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Females.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Females.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Females.</w:t>
            </w:r>
          </w:p>
        </w:tc>
      </w:tr>
      <w:tr>
        <w:trPr>
          <w:trHeight w:val="77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 occupied and unoccupied (aged</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years and upwards)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1,446,209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1,599,453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3,045,662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1,656,081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1,790,242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3.446,323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100·00</w:t>
            </w:r>
          </w:p>
        </w:tc>
      </w:tr>
      <w:tr>
        <w:trPr>
          <w:trHeight w:val="77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73" w:lineRule="auto"/>
              <w:ind w:left="360" w:hanging="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Engaged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occupations</w:t>
            </w:r>
          </w:p>
          <w:p>
            <w:pPr>
              <w:pStyle w:val="Style6"/>
              <w:keepNext w:val="0"/>
              <w:keepLines w:val="0"/>
              <w:widowControl w:val="0"/>
              <w:shd w:val="clear" w:color="auto" w:fill="auto"/>
              <w:bidi w:val="0"/>
              <w:spacing w:line="17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Retired or unoccupied</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1,203,909</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242,300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543.828</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1.055,625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1,747,737</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1,297,925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1,391,188</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264,893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591,624</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1,198,618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1,982,812</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1,463,511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83∙25</w:t>
            </w:r>
          </w:p>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16∙75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34·00</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66∙oo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84∙oo</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33∙05</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66∙95</w:t>
            </w:r>
          </w:p>
        </w:tc>
      </w:tr>
      <w:tr>
        <w:trPr>
          <w:trHeight w:val="1555"/>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Classes.</w:t>
            </w:r>
          </w:p>
          <w:p>
            <w:pPr>
              <w:pStyle w:val="Style6"/>
              <w:keepNext w:val="0"/>
              <w:keepLines w:val="0"/>
              <w:widowControl w:val="0"/>
              <w:shd w:val="clear" w:color="auto" w:fill="auto"/>
              <w:tabs>
                <w:tab w:pos="182" w:val="left"/>
              </w:tabs>
              <w:bidi w:val="0"/>
              <w:spacing w:line="18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Professional .</w:t>
            </w:r>
          </w:p>
          <w:p>
            <w:pPr>
              <w:pStyle w:val="Style6"/>
              <w:keepNext w:val="0"/>
              <w:keepLines w:val="0"/>
              <w:widowControl w:val="0"/>
              <w:shd w:val="clear" w:color="auto" w:fill="auto"/>
              <w:tabs>
                <w:tab w:pos="192"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Domestic.</w:t>
            </w:r>
          </w:p>
          <w:p>
            <w:pPr>
              <w:pStyle w:val="Style6"/>
              <w:keepNext w:val="0"/>
              <w:keepLines w:val="0"/>
              <w:widowControl w:val="0"/>
              <w:shd w:val="clear" w:color="auto" w:fill="auto"/>
              <w:tabs>
                <w:tab w:pos="192"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t>Commercial .</w:t>
            </w:r>
          </w:p>
          <w:p>
            <w:pPr>
              <w:pStyle w:val="Style6"/>
              <w:keepNext w:val="0"/>
              <w:keepLines w:val="0"/>
              <w:widowControl w:val="0"/>
              <w:shd w:val="clear" w:color="auto" w:fill="auto"/>
              <w:tabs>
                <w:tab w:pos="192"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Agriculture and</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Fishing .</w:t>
            </w:r>
          </w:p>
          <w:p>
            <w:pPr>
              <w:pStyle w:val="Style6"/>
              <w:keepNext w:val="0"/>
              <w:keepLines w:val="0"/>
              <w:widowControl w:val="0"/>
              <w:shd w:val="clear" w:color="auto" w:fill="auto"/>
              <w:tabs>
                <w:tab w:pos="197"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tab/>
              <w:t>Industrial</w:t>
            </w:r>
          </w:p>
          <w:p>
            <w:pPr>
              <w:pStyle w:val="Style6"/>
              <w:keepNext w:val="0"/>
              <w:keepLines w:val="0"/>
              <w:widowControl w:val="0"/>
              <w:shd w:val="clear" w:color="auto" w:fill="auto"/>
              <w:tabs>
                <w:tab w:pos="192"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tab/>
              <w:t>Unoccupied and</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non-productive</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59.053</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29,163</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174,558</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205,827</w:t>
            </w:r>
          </w:p>
          <w:p>
            <w:pPr>
              <w:pStyle w:val="Style6"/>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735.308</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242,300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23,051</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190,057</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10,276</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30,018</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290,426</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1,055,625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82,104</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219,220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184,834</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235,845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1,025,734</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1,297,925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67,827</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26,755</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221,579</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196,581</w:t>
            </w:r>
          </w:p>
          <w:p>
            <w:pPr>
              <w:pStyle w:val="Style6"/>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878,446</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264.893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33,234</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174,475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24,136</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40,730</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319,049</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1,198,618</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101,061</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201,230</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245,715</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237,311</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1,197,495</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1,463,511</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4∙o8</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12∙07</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14∙23</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50∙85</w:t>
            </w:r>
          </w:p>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16∙75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11·88 0∙64</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18∙16</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4∙10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w:t>
            </w:r>
          </w:p>
          <w:p>
            <w:pPr>
              <w:pStyle w:val="Style6"/>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13∙38</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11·87</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53·04</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16∙00</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w:t>
            </w:r>
          </w:p>
          <w:p>
            <w:pPr>
              <w:pStyle w:val="Style6"/>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1·35</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2∙27</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17∙82</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66∙95</w:t>
            </w:r>
          </w:p>
        </w:tc>
      </w:tr>
    </w:tbl>
    <w:p>
      <w:pPr>
        <w:widowControl w:val="0"/>
        <w:spacing w:line="1" w:lineRule="exact"/>
      </w:pPr>
    </w:p>
    <w:sectPr>
      <w:footnotePr>
        <w:pos w:val="pageBottom"/>
        <w:numFmt w:val="decimal"/>
        <w:numRestart w:val="continuous"/>
      </w:footnotePr>
      <w:type w:val="continuous"/>
      <w:pgSz w:w="12240" w:h="15840"/>
      <w:pgMar w:top="1038" w:left="992" w:right="884" w:bottom="4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6">
    <w:name w:val="Body text_"/>
    <w:basedOn w:val="DefaultParagraphFont"/>
    <w:link w:val="Style15"/>
    <w:rPr>
      <w:b w:val="0"/>
      <w:bCs w:val="0"/>
      <w:i w:val="0"/>
      <w:iCs w:val="0"/>
      <w:smallCaps w:val="0"/>
      <w:strike w:val="0"/>
      <w:sz w:val="18"/>
      <w:szCs w:val="18"/>
      <w:u w:val="none"/>
    </w:rPr>
  </w:style>
  <w:style w:type="paragraph" w:customStyle="1" w:styleId="Style3">
    <w:name w:val="Table caption"/>
    <w:basedOn w:val="Normal"/>
    <w:link w:val="CharStyle4"/>
    <w:pPr>
      <w:widowControl w:val="0"/>
      <w:shd w:val="clear" w:color="auto" w:fill="FFFFFF"/>
      <w:spacing w:line="178" w:lineRule="auto"/>
      <w:jc w:val="both"/>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00"/>
      <w:jc w:val="both"/>
    </w:pPr>
    <w:rPr>
      <w:b w:val="0"/>
      <w:bCs w:val="0"/>
      <w:i w:val="0"/>
      <w:iCs w:val="0"/>
      <w:smallCaps w:val="0"/>
      <w:strike w:val="0"/>
      <w:sz w:val="18"/>
      <w:szCs w:val="18"/>
      <w:u w:val="none"/>
    </w:rPr>
  </w:style>
  <w:style w:type="paragraph" w:styleId="Style15">
    <w:name w:val="Body text"/>
    <w:basedOn w:val="Normal"/>
    <w:link w:val="CharStyle16"/>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