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Latin, </w:t>
      </w:r>
      <w:r>
        <w:rPr>
          <w:rFonts w:ascii="Times New Roman" w:eastAsia="Times New Roman" w:hAnsi="Times New Roman" w:cs="Times New Roman"/>
          <w:color w:val="000000"/>
          <w:spacing w:val="0"/>
          <w:w w:val="100"/>
          <w:position w:val="0"/>
          <w:shd w:val="clear" w:color="auto" w:fill="auto"/>
          <w:lang w:val="en-US" w:eastAsia="en-US" w:bidi="en-US"/>
        </w:rPr>
        <w:t xml:space="preserve">is chiefly found in scientific applications, of processes or phenomena which are continued through the ages and are not regularly recurrent or periodical,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secular cooling of the earth, secular change of the mean annual change of the temperature. The word is thus used widely of that which is lasting or permanent. In medieval and Late Latin,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saecularis</w:t>
      </w:r>
      <w:r>
        <w:rPr>
          <w:rFonts w:ascii="Times New Roman" w:eastAsia="Times New Roman" w:hAnsi="Times New Roman" w:cs="Times New Roman"/>
          <w:color w:val="000000"/>
          <w:spacing w:val="0"/>
          <w:w w:val="100"/>
          <w:position w:val="0"/>
          <w:shd w:val="clear" w:color="auto" w:fill="auto"/>
          <w:lang w:val="en-US" w:eastAsia="en-US" w:bidi="en-US"/>
        </w:rPr>
        <w:t xml:space="preserve"> was particularly used of that which belongs to this world, hence non-spiritual, lay. It is thus used, first to distinguish the “ regular ” or monastic clergy from those who were not bound by the rule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(regula)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a religious order, the parish priests, the “ seculars,” who were living in the world, and secondly in the wide sense of anything which is distinct, opposed to or not connected with religion or ecclesiastical things, temporal as opposed to spiritual or ecclesiastical. Thus property transferred or alienated from spiritual to temporal hands is said to be “ secularized ”; “ secularism ”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is the term applied in general to the separation of state politics or administration from religious or church matters; “ secular education ” is a system of training in which definite religious teaching is excluded.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SECULAR GAMES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(Ludi Saeculares,</w:t>
      </w:r>
      <w:r>
        <w:rPr>
          <w:rFonts w:ascii="Times New Roman" w:eastAsia="Times New Roman" w:hAnsi="Times New Roman" w:cs="Times New Roman"/>
          <w:color w:val="000000"/>
          <w:spacing w:val="0"/>
          <w:w w:val="100"/>
          <w:position w:val="0"/>
          <w:shd w:val="clear" w:color="auto" w:fill="auto"/>
          <w:lang w:val="en-US" w:eastAsia="en-US" w:bidi="en-US"/>
        </w:rPr>
        <w:t xml:space="preserve"> originally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Terentini). </w:t>
      </w:r>
      <w:r>
        <w:rPr>
          <w:rFonts w:ascii="Times New Roman" w:eastAsia="Times New Roman" w:hAnsi="Times New Roman" w:cs="Times New Roman"/>
          <w:color w:val="000000"/>
          <w:spacing w:val="0"/>
          <w:w w:val="100"/>
          <w:position w:val="0"/>
          <w:shd w:val="clear" w:color="auto" w:fill="auto"/>
          <w:lang w:val="en-US" w:eastAsia="en-US" w:bidi="en-US"/>
        </w:rPr>
        <w:t xml:space="preserve">These were celebrated at Rome for three days and nights to mark the commencement of a new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saeculum </w:t>
      </w:r>
      <w:r>
        <w:rPr>
          <w:rFonts w:ascii="Times New Roman" w:eastAsia="Times New Roman" w:hAnsi="Times New Roman" w:cs="Times New Roman"/>
          <w:color w:val="000000"/>
          <w:spacing w:val="0"/>
          <w:w w:val="100"/>
          <w:position w:val="0"/>
          <w:sz w:val="15"/>
          <w:szCs w:val="15"/>
          <w:shd w:val="clear" w:color="auto" w:fill="auto"/>
          <w:lang w:val="en-US" w:eastAsia="en-US" w:bidi="en-US"/>
        </w:rPr>
        <w:t>or</w:t>
      </w:r>
      <w:r>
        <w:rPr>
          <w:rFonts w:ascii="Times New Roman" w:eastAsia="Times New Roman" w:hAnsi="Times New Roman" w:cs="Times New Roman"/>
          <w:color w:val="000000"/>
          <w:spacing w:val="0"/>
          <w:w w:val="100"/>
          <w:position w:val="0"/>
          <w:shd w:val="clear" w:color="auto" w:fill="auto"/>
          <w:lang w:val="en-US" w:eastAsia="en-US" w:bidi="en-US"/>
        </w:rPr>
        <w:t xml:space="preserve"> generation. It is important to note that there was a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saeculum civile,</w:t>
      </w:r>
      <w:r>
        <w:rPr>
          <w:rFonts w:ascii="Times New Roman" w:eastAsia="Times New Roman" w:hAnsi="Times New Roman" w:cs="Times New Roman"/>
          <w:color w:val="000000"/>
          <w:spacing w:val="0"/>
          <w:w w:val="100"/>
          <w:position w:val="0"/>
          <w:shd w:val="clear" w:color="auto" w:fill="auto"/>
          <w:lang w:val="en-US" w:eastAsia="en-US" w:bidi="en-US"/>
        </w:rPr>
        <w:t xml:space="preserve"> the length of which was definitely fixed at 100 years, and a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saeculum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naturale,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under Greek and Etruscan influence, came to be accepted by the quindecimviri as no years. According to tradition, the secular games had their origin in certain sacrificial rites of the gens Valeria, which were performed at the Terentum, a volcanic cleft in the Campus Martius. According to the Roman antiquarians themselves, they were derived from the Etruscans, who, at the end of a mean period of 100 years (as representing the longest human fife in a generation), presented to the chthonian deities an expiatory offering on behalf of the coming generation. The first definitely attested celebration of the games took place in 249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on which occasion a vow was made that they should be repeated every hundredth year (their name being also changed to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Saeculares),</w:t>
      </w:r>
      <w:r>
        <w:rPr>
          <w:rFonts w:ascii="Times New Roman" w:eastAsia="Times New Roman" w:hAnsi="Times New Roman" w:cs="Times New Roman"/>
          <w:color w:val="000000"/>
          <w:spacing w:val="0"/>
          <w:w w:val="100"/>
          <w:position w:val="0"/>
          <w:shd w:val="clear" w:color="auto" w:fill="auto"/>
          <w:lang w:val="en-US" w:eastAsia="en-US" w:bidi="en-US"/>
        </w:rPr>
        <w:t xml:space="preserve"> a regulation which seems to have been immediately disregarded, for they were next held in 146 (not 149, although the authorities are not unanimous); in 49 the civil wars prevented any celebration. They would probably have fallen entirely into oblivion, had not Augustus revived them in 17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for which occasion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Carmen Saeculare </w:t>
      </w:r>
      <w:r>
        <w:rPr>
          <w:rFonts w:ascii="Times New Roman" w:eastAsia="Times New Roman" w:hAnsi="Times New Roman" w:cs="Times New Roman"/>
          <w:color w:val="000000"/>
          <w:spacing w:val="0"/>
          <w:w w:val="100"/>
          <w:position w:val="0"/>
          <w:shd w:val="clear" w:color="auto" w:fill="auto"/>
          <w:lang w:val="en-US" w:eastAsia="en-US" w:bidi="en-US"/>
        </w:rPr>
        <w:t>was composed by Horace. In explanation of the selection of this year it is supposed that the quindecimviri invented celebra</w:t>
        <w:softHyphen/>
        <w:t xml:space="preserve">tions for the years 456, 346, 236, 126,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saeculum</w:t>
      </w:r>
      <w:r>
        <w:rPr>
          <w:rFonts w:ascii="Times New Roman" w:eastAsia="Times New Roman" w:hAnsi="Times New Roman" w:cs="Times New Roman"/>
          <w:color w:val="000000"/>
          <w:spacing w:val="0"/>
          <w:w w:val="100"/>
          <w:position w:val="0"/>
          <w:shd w:val="clear" w:color="auto" w:fill="auto"/>
          <w:lang w:val="en-US" w:eastAsia="en-US" w:bidi="en-US"/>
        </w:rPr>
        <w:t xml:space="preserve"> being taken as lasting no years.</w:t>
      </w:r>
    </w:p>
    <w:p>
      <w:pPr>
        <w:pStyle w:val="Style10"/>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later times various modes of reckoning were adopted. The dates were: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A.D. </w:t>
      </w:r>
      <w:r>
        <w:rPr>
          <w:rFonts w:ascii="Times New Roman" w:eastAsia="Times New Roman" w:hAnsi="Times New Roman" w:cs="Times New Roman"/>
          <w:color w:val="000000"/>
          <w:spacing w:val="0"/>
          <w:w w:val="100"/>
          <w:position w:val="0"/>
          <w:shd w:val="clear" w:color="auto" w:fill="auto"/>
          <w:lang w:val="en-US" w:eastAsia="en-US" w:bidi="en-US"/>
        </w:rPr>
        <w:t xml:space="preserve">47 (under Claudius), celebrating the 8ooth year of the foundation of the city; 88 (under </w:t>
      </w:r>
      <w:r>
        <w:rPr>
          <w:rFonts w:ascii="Times New Roman" w:eastAsia="Times New Roman" w:hAnsi="Times New Roman" w:cs="Times New Roman"/>
          <w:color w:val="000000"/>
          <w:spacing w:val="0"/>
          <w:w w:val="100"/>
          <w:position w:val="0"/>
          <w:shd w:val="clear" w:color="auto" w:fill="auto"/>
          <w:lang w:val="de-DE" w:eastAsia="de-DE" w:bidi="de-DE"/>
        </w:rPr>
        <w:t xml:space="preserve">Domitian), </w:t>
      </w:r>
      <w:r>
        <w:rPr>
          <w:rFonts w:ascii="Times New Roman" w:eastAsia="Times New Roman" w:hAnsi="Times New Roman" w:cs="Times New Roman"/>
          <w:color w:val="000000"/>
          <w:spacing w:val="0"/>
          <w:w w:val="100"/>
          <w:position w:val="0"/>
          <w:shd w:val="clear" w:color="auto" w:fill="auto"/>
          <w:lang w:val="en-US" w:eastAsia="en-US" w:bidi="en-US"/>
        </w:rPr>
        <w:t xml:space="preserve">an interval of only 105 instead of 110 years; 147 (under Antoninus Pius), the 9ooth year of the city; 204 (under Septimius </w:t>
      </w:r>
      <w:r>
        <w:rPr>
          <w:rFonts w:ascii="Times New Roman" w:eastAsia="Times New Roman" w:hAnsi="Times New Roman" w:cs="Times New Roman"/>
          <w:color w:val="000000"/>
          <w:spacing w:val="0"/>
          <w:w w:val="100"/>
          <w:position w:val="0"/>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hd w:val="clear" w:color="auto" w:fill="auto"/>
          <w:lang w:val="en-US" w:eastAsia="en-US" w:bidi="en-US"/>
        </w:rPr>
        <w:t xml:space="preserve">exactly two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saecula (220</w:t>
      </w:r>
      <w:r>
        <w:rPr>
          <w:rFonts w:ascii="Times New Roman" w:eastAsia="Times New Roman" w:hAnsi="Times New Roman" w:cs="Times New Roman"/>
          <w:color w:val="000000"/>
          <w:spacing w:val="0"/>
          <w:w w:val="100"/>
          <w:position w:val="0"/>
          <w:shd w:val="clear" w:color="auto" w:fill="auto"/>
          <w:lang w:val="en-US" w:eastAsia="en-US" w:bidi="en-US"/>
        </w:rPr>
        <w:t xml:space="preserve"> years) after the Augustan celebration; 248 (under Philip the Arabian), the 1000th year of the city; 262 (under Gallie- nus), probably a special ceremony in time of calamity; in 304 (which should have been 314) </w:t>
      </w:r>
      <w:r>
        <w:rPr>
          <w:rFonts w:ascii="Times New Roman" w:eastAsia="Times New Roman" w:hAnsi="Times New Roman" w:cs="Times New Roman"/>
          <w:color w:val="000000"/>
          <w:spacing w:val="0"/>
          <w:w w:val="100"/>
          <w:position w:val="0"/>
          <w:shd w:val="clear" w:color="auto" w:fill="auto"/>
          <w:lang w:val="de-DE" w:eastAsia="de-DE" w:bidi="de-DE"/>
        </w:rPr>
        <w:t xml:space="preserve">Maximian </w:t>
      </w:r>
      <w:r>
        <w:rPr>
          <w:rFonts w:ascii="Times New Roman" w:eastAsia="Times New Roman" w:hAnsi="Times New Roman" w:cs="Times New Roman"/>
          <w:color w:val="000000"/>
          <w:spacing w:val="0"/>
          <w:w w:val="100"/>
          <w:position w:val="0"/>
          <w:shd w:val="clear" w:color="auto" w:fill="auto"/>
          <w:lang w:val="en-US" w:eastAsia="en-US" w:bidi="en-US"/>
        </w:rPr>
        <w:t>intended to hold a celebration, but does not appear to have done so. From this time nothing more is heard of the secular games, until they were revived in the year 1300 as the popish jubilees instituted by Boniface VIII.</w:t>
      </w:r>
    </w:p>
    <w:p>
      <w:pPr>
        <w:pStyle w:val="Style10"/>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the beginning of the harvest, heralds went round and sum</w:t>
        <w:softHyphen/>
        <w:t>moned the people to the festival. The quindecimviri distributed to all free citizens on the Capitol and in the temple of Apollo on the Palatine various means of expiation—torches, sulphur and bitumen. Here and in the temple of Diana on the Aventine, wheat, barley, and beans were distributed, to serve as an offering of fìrstfruits. The festival then began, at which offerings were made to various deities. On the first night the emperor sacrificed three rams to the Parcae at an underground altar on the banks of the Tiber, while the people lighted torches and sang a special hymn. On the same or following nights a black hog and a black pig were sacrificed to Tellus, and dark victims to Dis (Pluto) and Proserpine. On the first day white bulls and a white cow were offered to Jupiter and Juno on the Capitol, after which scenic games were held in honour of ApolIo. On the second day noble matrons sang supplicatory hymns to Juno on the Capitol; on the third, white oxen were sacrificed to Apollo and twenty-seven boys and maidens sang the “ secular hymn ” in Greek and Latin.</w:t>
      </w:r>
    </w:p>
    <w:p>
      <w:pPr>
        <w:pStyle w:val="Style10"/>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above particulars are from Zosimus (ii. 5, and 6, which contain the Sibylline oracle), who, with Censorious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Die Natali,</w:t>
      </w:r>
      <w:r>
        <w:rPr>
          <w:rFonts w:ascii="Times New Roman" w:eastAsia="Times New Roman" w:hAnsi="Times New Roman" w:cs="Times New Roman"/>
          <w:color w:val="000000"/>
          <w:spacing w:val="0"/>
          <w:w w:val="100"/>
          <w:position w:val="0"/>
          <w:shd w:val="clear" w:color="auto" w:fill="auto"/>
          <w:lang w:val="en-US" w:eastAsia="en-US" w:bidi="en-US"/>
        </w:rPr>
        <w:t xml:space="preserve"> 17),</w:t>
      </w:r>
    </w:p>
    <w:p>
      <w:pPr>
        <w:pStyle w:val="Style10"/>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Valerius Maximus, ii. 4, and Horace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(Carmen Saeculare)</w:t>
      </w:r>
      <w:r>
        <w:rPr>
          <w:rFonts w:ascii="Times New Roman" w:eastAsia="Times New Roman" w:hAnsi="Times New Roman" w:cs="Times New Roman"/>
          <w:color w:val="000000"/>
          <w:spacing w:val="0"/>
          <w:w w:val="100"/>
          <w:position w:val="0"/>
          <w:shd w:val="clear" w:color="auto" w:fill="auto"/>
          <w:lang w:val="en-US" w:eastAsia="en-US" w:bidi="en-US"/>
        </w:rPr>
        <w:t xml:space="preserve"> is the chief ancient authority on the subject; see also Mommsen,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Römische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Chronologie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(1858) ; C. L. Roth, “ </w:t>
      </w:r>
      <w:r>
        <w:rPr>
          <w:rFonts w:ascii="Times New Roman" w:eastAsia="Times New Roman" w:hAnsi="Times New Roman" w:cs="Times New Roman"/>
          <w:color w:val="000000"/>
          <w:spacing w:val="0"/>
          <w:w w:val="100"/>
          <w:position w:val="0"/>
          <w:shd w:val="clear" w:color="auto" w:fill="auto"/>
          <w:lang w:val="de-DE" w:eastAsia="de-DE" w:bidi="de-DE"/>
        </w:rPr>
        <w:t xml:space="preserve">Über </w:t>
      </w:r>
      <w:r>
        <w:rPr>
          <w:rFonts w:ascii="Times New Roman" w:eastAsia="Times New Roman" w:hAnsi="Times New Roman" w:cs="Times New Roman"/>
          <w:color w:val="000000"/>
          <w:spacing w:val="0"/>
          <w:w w:val="100"/>
          <w:position w:val="0"/>
          <w:shd w:val="clear" w:color="auto" w:fill="auto"/>
          <w:lang w:val="en-US" w:eastAsia="en-US" w:bidi="en-US"/>
        </w:rPr>
        <w:t xml:space="preserve">die </w:t>
      </w:r>
      <w:r>
        <w:rPr>
          <w:rFonts w:ascii="Times New Roman" w:eastAsia="Times New Roman" w:hAnsi="Times New Roman" w:cs="Times New Roman"/>
          <w:color w:val="000000"/>
          <w:spacing w:val="0"/>
          <w:w w:val="100"/>
          <w:position w:val="0"/>
          <w:shd w:val="clear" w:color="auto" w:fill="auto"/>
          <w:lang w:val="de-DE" w:eastAsia="de-DE" w:bidi="de-DE"/>
        </w:rPr>
        <w:t xml:space="preserve">römischen </w:t>
      </w:r>
      <w:r>
        <w:rPr>
          <w:rFonts w:ascii="Times New Roman" w:eastAsia="Times New Roman" w:hAnsi="Times New Roman" w:cs="Times New Roman"/>
          <w:color w:val="000000"/>
          <w:spacing w:val="0"/>
          <w:w w:val="100"/>
          <w:position w:val="0"/>
          <w:shd w:val="clear" w:color="auto" w:fill="auto"/>
          <w:lang w:val="en-US" w:eastAsia="en-US" w:bidi="en-US"/>
        </w:rPr>
        <w:t xml:space="preserve">Säcularspiele ” in the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Rheinisches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Museum,</w:t>
      </w:r>
      <w:r>
        <w:rPr>
          <w:rFonts w:ascii="Times New Roman" w:eastAsia="Times New Roman" w:hAnsi="Times New Roman" w:cs="Times New Roman"/>
          <w:color w:val="000000"/>
          <w:spacing w:val="0"/>
          <w:w w:val="100"/>
          <w:position w:val="0"/>
          <w:shd w:val="clear" w:color="auto" w:fill="auto"/>
          <w:lang w:val="en-US" w:eastAsia="en-US" w:bidi="en-US"/>
        </w:rPr>
        <w:t xml:space="preserve"> viii. (1853); and Marquardt,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Römische Staatsverwaltung,</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iii. (1885), p. 386. The inscription commemorating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ludi</w:t>
      </w:r>
      <w:r>
        <w:rPr>
          <w:rFonts w:ascii="Times New Roman" w:eastAsia="Times New Roman" w:hAnsi="Times New Roman" w:cs="Times New Roman"/>
          <w:color w:val="000000"/>
          <w:spacing w:val="0"/>
          <w:w w:val="100"/>
          <w:position w:val="0"/>
          <w:shd w:val="clear" w:color="auto" w:fill="auto"/>
          <w:lang w:val="en-US" w:eastAsia="en-US" w:bidi="en-US"/>
        </w:rPr>
        <w:t xml:space="preserve"> of 17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 xml:space="preserve">was discovered in 1890 and is printed in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Ephemeris epigraphica,</w:t>
      </w:r>
      <w:r>
        <w:rPr>
          <w:rFonts w:ascii="Times New Roman" w:eastAsia="Times New Roman" w:hAnsi="Times New Roman" w:cs="Times New Roman"/>
          <w:color w:val="000000"/>
          <w:spacing w:val="0"/>
          <w:w w:val="100"/>
          <w:position w:val="0"/>
          <w:shd w:val="clear" w:color="auto" w:fill="auto"/>
          <w:lang w:val="en-US" w:eastAsia="en-US" w:bidi="en-US"/>
        </w:rPr>
        <w:t xml:space="preserve"> vol. viii. The best account of the whole subject is in H. Diels,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Sibyllinische Blatter</w:t>
      </w:r>
      <w:r>
        <w:rPr>
          <w:rFonts w:ascii="Times New Roman" w:eastAsia="Times New Roman" w:hAnsi="Times New Roman" w:cs="Times New Roman"/>
          <w:color w:val="000000"/>
          <w:spacing w:val="0"/>
          <w:w w:val="100"/>
          <w:position w:val="0"/>
          <w:shd w:val="clear" w:color="auto" w:fill="auto"/>
          <w:lang w:val="en-US" w:eastAsia="en-US" w:bidi="en-US"/>
        </w:rPr>
        <w:t xml:space="preserve"> (1890), p. 109 foll.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SECULARISM, a term applied specially (see </w:t>
      </w:r>
      <w:r>
        <w:rPr>
          <w:rFonts w:ascii="Times New Roman" w:eastAsia="Times New Roman" w:hAnsi="Times New Roman" w:cs="Times New Roman"/>
          <w:smallCaps/>
          <w:color w:val="000000"/>
          <w:spacing w:val="0"/>
          <w:w w:val="100"/>
          <w:position w:val="0"/>
          <w:shd w:val="clear" w:color="auto" w:fill="auto"/>
          <w:lang w:val="en-US" w:eastAsia="en-US" w:bidi="en-US"/>
        </w:rPr>
        <w:t>Secular)</w:t>
      </w:r>
      <w:r>
        <w:rPr>
          <w:rFonts w:ascii="Times New Roman" w:eastAsia="Times New Roman" w:hAnsi="Times New Roman" w:cs="Times New Roman"/>
          <w:color w:val="000000"/>
          <w:spacing w:val="0"/>
          <w:w w:val="100"/>
          <w:position w:val="0"/>
          <w:shd w:val="clear" w:color="auto" w:fill="auto"/>
          <w:lang w:val="en-US" w:eastAsia="en-US" w:bidi="en-US"/>
        </w:rPr>
        <w:t xml:space="preserve"> to the system of social ethics associated with the name 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 J. </w:t>
      </w:r>
      <w:r>
        <w:rPr>
          <w:rFonts w:ascii="Times New Roman" w:eastAsia="Times New Roman" w:hAnsi="Times New Roman" w:cs="Times New Roman"/>
          <w:color w:val="000000"/>
          <w:spacing w:val="0"/>
          <w:w w:val="100"/>
          <w:position w:val="0"/>
          <w:shd w:val="clear" w:color="auto" w:fill="auto"/>
          <w:lang w:val="en-US" w:eastAsia="en-US" w:bidi="en-US"/>
        </w:rPr>
        <w:t xml:space="preserve">Holyoake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As the word implies, secularism is based solely on con- siderations of practical morality with a view to the physical, social and moral improvement of society. It neither affirms nor denies the theistic premises of religion, and is thus a particular variety of utilitarianism. Holyoake founded a society in London which subsequently under the leadership of Charles Bradlaugh advocated the disestablishment of the Church, the abolition of the Second Chamber and other political and economic reforms.</w:t>
      </w:r>
    </w:p>
    <w:p>
      <w:pPr>
        <w:pStyle w:val="Style15"/>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i w:val="0"/>
          <w:iCs w:val="0"/>
          <w:color w:val="000000"/>
          <w:spacing w:val="0"/>
          <w:w w:val="100"/>
          <w:position w:val="0"/>
          <w:sz w:val="19"/>
          <w:szCs w:val="19"/>
          <w:shd w:val="clear" w:color="auto" w:fill="auto"/>
          <w:lang w:val="en-US" w:eastAsia="en-US" w:bidi="en-US"/>
        </w:rPr>
        <w:t xml:space="preserve">See Holyoake’s </w:t>
      </w:r>
      <w:r>
        <w:rPr>
          <w:rFonts w:ascii="Times New Roman" w:eastAsia="Times New Roman" w:hAnsi="Times New Roman" w:cs="Times New Roman"/>
          <w:color w:val="000000"/>
          <w:spacing w:val="0"/>
          <w:w w:val="100"/>
          <w:position w:val="0"/>
          <w:sz w:val="14"/>
          <w:szCs w:val="14"/>
          <w:shd w:val="clear" w:color="auto" w:fill="auto"/>
          <w:lang w:val="en-US" w:eastAsia="en-US" w:bidi="en-US"/>
        </w:rPr>
        <w:t>Principles of Secularism</w:t>
      </w:r>
      <w:r>
        <w:rPr>
          <w:rFonts w:ascii="Times New Roman" w:eastAsia="Times New Roman" w:hAnsi="Times New Roman" w:cs="Times New Roman"/>
          <w:i w:val="0"/>
          <w:iCs w:val="0"/>
          <w:color w:val="000000"/>
          <w:spacing w:val="0"/>
          <w:w w:val="100"/>
          <w:position w:val="0"/>
          <w:sz w:val="19"/>
          <w:szCs w:val="19"/>
          <w:shd w:val="clear" w:color="auto" w:fill="auto"/>
          <w:lang w:val="en-US" w:eastAsia="en-US" w:bidi="en-US"/>
        </w:rPr>
        <w:t xml:space="preserve"> (1885).</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SECUND (Lat.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secundus,</w:t>
      </w:r>
      <w:r>
        <w:rPr>
          <w:rFonts w:ascii="Times New Roman" w:eastAsia="Times New Roman" w:hAnsi="Times New Roman" w:cs="Times New Roman"/>
          <w:color w:val="000000"/>
          <w:spacing w:val="0"/>
          <w:w w:val="100"/>
          <w:position w:val="0"/>
          <w:shd w:val="clear" w:color="auto" w:fill="auto"/>
          <w:lang w:val="en-US" w:eastAsia="en-US" w:bidi="en-US"/>
        </w:rPr>
        <w:t xml:space="preserve"> following), a botanical term used of plants when similar parts are directed to one side only, as flowers on an axis.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SECUNDERABAD, one of the chief British military stations in India, situated in the state of Hyderabad or the Nizam’s Dominions, 1830 ft. above sea-level, and 6 m. N.E. of Hyderabad city. Pop. (1901) 83,550. It is now the headquarters of the 9th division of the southern army. Secunderabad includes Bolaram, the former cantonment of the Hyderabad contingent (now merged in the Indian army), and also Trimulgherry, the artillery cantonment, covering a total area of 22 sq. m. These two places have an additional population of 12,888.</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SECUNDUS, JOHANNES, whose real name was </w:t>
      </w:r>
      <w:r>
        <w:rPr>
          <w:rFonts w:ascii="Times New Roman" w:eastAsia="Times New Roman" w:hAnsi="Times New Roman" w:cs="Times New Roman"/>
          <w:smallCaps/>
          <w:color w:val="000000"/>
          <w:spacing w:val="0"/>
          <w:w w:val="100"/>
          <w:position w:val="0"/>
          <w:shd w:val="clear" w:color="auto" w:fill="auto"/>
          <w:lang w:val="en-US" w:eastAsia="en-US" w:bidi="en-US"/>
        </w:rPr>
        <w:t>Johann Everts</w:t>
      </w:r>
      <w:r>
        <w:rPr>
          <w:rFonts w:ascii="Times New Roman" w:eastAsia="Times New Roman" w:hAnsi="Times New Roman" w:cs="Times New Roman"/>
          <w:color w:val="000000"/>
          <w:spacing w:val="0"/>
          <w:w w:val="100"/>
          <w:position w:val="0"/>
          <w:shd w:val="clear" w:color="auto" w:fill="auto"/>
          <w:lang w:val="en-US" w:eastAsia="en-US" w:bidi="en-US"/>
        </w:rPr>
        <w:t xml:space="preserve"> (1511-1536), Latin poet, was bom at The Hague on the 10th of November 1511. He was descended from an ancient family in the Netherlands; his father, Nicholas Everts, or Everard, seems to have been high in the favour of the emperor Charles V. On what account the son was called Secundus is not known. His father intended him for the law; but though he took his degree at Bourges it does not appear that he devoted much time to legal pursuits. Poetry, painting and sculpture engaged his mind at a very early period. In 1533 he went to Spain, and soon afterwards became secretary to the cardinal- archbishop of Toledo, in a department of business which required no other qualification than that of writing Latin with elegance. During this period he composed his most famous work,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Basia, </w:t>
      </w:r>
      <w:r>
        <w:rPr>
          <w:rFonts w:ascii="Times New Roman" w:eastAsia="Times New Roman" w:hAnsi="Times New Roman" w:cs="Times New Roman"/>
          <w:color w:val="000000"/>
          <w:spacing w:val="0"/>
          <w:w w:val="100"/>
          <w:position w:val="0"/>
          <w:shd w:val="clear" w:color="auto" w:fill="auto"/>
          <w:lang w:val="en-US" w:eastAsia="en-US" w:bidi="en-US"/>
        </w:rPr>
        <w:t xml:space="preserve">a series of amatory poems, of which the fifth, seventh, and ninth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Carmina</w:t>
      </w:r>
      <w:r>
        <w:rPr>
          <w:rFonts w:ascii="Times New Roman" w:eastAsia="Times New Roman" w:hAnsi="Times New Roman" w:cs="Times New Roman"/>
          <w:color w:val="000000"/>
          <w:spacing w:val="0"/>
          <w:w w:val="100"/>
          <w:position w:val="0"/>
          <w:shd w:val="clear" w:color="auto" w:fill="auto"/>
          <w:lang w:val="en-US" w:eastAsia="en-US" w:bidi="en-US"/>
        </w:rPr>
        <w:t xml:space="preserve"> of Catullus seem to have given the hint. In 1534 he accompanied Charles V. to the siege of Tunis. After quitting the service of the archbishop, Secundus was employed as secretary by the bishop of Utrecht; and so much did he distinguish himself by his compositions that he was called upon to fill the important post of private Latin secretary to the emperor, who was then in Italy. But, having arrived at St Amand, near Tournay, he died of fever on the 8th of October 1536.</w:t>
      </w:r>
    </w:p>
    <w:p>
      <w:pPr>
        <w:pStyle w:val="Style3"/>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SECUNDUS, PUBLIUS POMPONIUS, Roman general and tragic poet, lived during the reigns of Tiberius, Caligula and Claudius. He was on intimate terms with the elder Pliny, who wrote a biography of him (now lost). The chief authority for his life is Tacitus, according to whom Secundus was a man of refinement and brilliant intellect. His friendship with Sejanus and his brother made him politically suspect, and he only escaped death by remaining practically a prisoner in his own brother’s house until the accession of Caligula. During his enforced retirement he composed tragedies, which were put on the stage during the reign of Claudius. In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50 he distinguished himself against the Chatti and obtained the honour of the triumphal insignia. Quintilian asserts that he was far superior to any writer of tragedies he had known, and Tacitus expresses a high opinion of his literary abilities. Secundus devoted much atten- tion to the niceties of grammar and style, on which he was recognized as an authority. Only a few lines of his work remain some of which belong to the tragedy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Aeneas.</w:t>
      </w:r>
    </w:p>
    <w:p>
      <w:pPr>
        <w:pStyle w:val="Style15"/>
        <w:keepNext w:val="0"/>
        <w:keepLines w:val="0"/>
        <w:widowControl w:val="0"/>
        <w:shd w:val="clear" w:color="auto" w:fill="auto"/>
        <w:bidi w:val="0"/>
        <w:spacing w:line="276" w:lineRule="auto"/>
        <w:ind w:left="0" w:firstLine="360"/>
        <w:jc w:val="left"/>
        <w:rPr>
          <w:sz w:val="15"/>
          <w:szCs w:val="15"/>
        </w:rPr>
      </w:pP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See O. Ribbeck, </w:t>
      </w:r>
      <w:r>
        <w:rPr>
          <w:rFonts w:ascii="Times New Roman" w:eastAsia="Times New Roman" w:hAnsi="Times New Roman" w:cs="Times New Roman"/>
          <w:color w:val="000000"/>
          <w:spacing w:val="0"/>
          <w:w w:val="100"/>
          <w:position w:val="0"/>
          <w:sz w:val="14"/>
          <w:szCs w:val="14"/>
          <w:shd w:val="clear" w:color="auto" w:fill="auto"/>
          <w:lang w:val="de-DE" w:eastAsia="de-DE" w:bidi="de-DE"/>
        </w:rPr>
        <w:t>Geschichte der römischen Dichtung,</w:t>
      </w:r>
      <w:r>
        <w:rPr>
          <w:rFonts w:ascii="Times New Roman" w:eastAsia="Times New Roman" w:hAnsi="Times New Roman" w:cs="Times New Roman"/>
          <w:i w:val="0"/>
          <w:iCs w:val="0"/>
          <w:color w:val="000000"/>
          <w:spacing w:val="0"/>
          <w:w w:val="100"/>
          <w:position w:val="0"/>
          <w:sz w:val="15"/>
          <w:szCs w:val="15"/>
          <w:shd w:val="clear" w:color="auto" w:fill="auto"/>
          <w:lang w:val="de-DE" w:eastAsia="de-DE" w:bidi="de-DE"/>
        </w:rPr>
        <w:t xml:space="preserve"> iii. </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(1892).</w:t>
      </w:r>
    </w:p>
    <w:sectPr>
      <w:footnotePr>
        <w:pos w:val="pageBottom"/>
        <w:numFmt w:val="decimal"/>
        <w:numRestart w:val="continuous"/>
      </w:footnotePr>
      <w:pgSz w:w="12240" w:h="15840"/>
      <w:pgMar w:top="718" w:left="849" w:right="1025" w:bottom="7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1">
    <w:name w:val="Body text (4)_"/>
    <w:basedOn w:val="DefaultParagraphFont"/>
    <w:link w:val="Style10"/>
    <w:rPr>
      <w:rFonts w:ascii="Georgia" w:eastAsia="Georgia" w:hAnsi="Georgia" w:cs="Georgia"/>
      <w:b w:val="0"/>
      <w:bCs w:val="0"/>
      <w:i w:val="0"/>
      <w:iCs w:val="0"/>
      <w:smallCaps w:val="0"/>
      <w:strike w:val="0"/>
      <w:sz w:val="15"/>
      <w:szCs w:val="15"/>
      <w:u w:val="none"/>
    </w:rPr>
  </w:style>
  <w:style w:type="character" w:customStyle="1" w:styleId="CharStyle16">
    <w:name w:val="Body text (5)_"/>
    <w:basedOn w:val="DefaultParagraphFont"/>
    <w:link w:val="Style15"/>
    <w:rPr>
      <w:rFonts w:ascii="Arial" w:eastAsia="Arial" w:hAnsi="Arial" w:cs="Arial"/>
      <w:b w:val="0"/>
      <w:bCs w:val="0"/>
      <w:i/>
      <w:iCs/>
      <w:smallCaps w:val="0"/>
      <w:strike w:val="0"/>
      <w:sz w:val="14"/>
      <w:szCs w:val="14"/>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10">
    <w:name w:val="Body text (4)"/>
    <w:basedOn w:val="Normal"/>
    <w:link w:val="CharStyle11"/>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 w:type="paragraph" w:customStyle="1" w:styleId="Style15">
    <w:name w:val="Body text (5)"/>
    <w:basedOn w:val="Normal"/>
    <w:link w:val="CharStyle16"/>
    <w:pPr>
      <w:widowControl w:val="0"/>
      <w:shd w:val="clear" w:color="auto" w:fill="FFFFFF"/>
      <w:spacing w:line="223" w:lineRule="auto"/>
      <w:jc w:val="both"/>
    </w:pPr>
    <w:rPr>
      <w:rFonts w:ascii="Arial" w:eastAsia="Arial" w:hAnsi="Arial" w:cs="Arial"/>
      <w:b w:val="0"/>
      <w:bCs w:val="0"/>
      <w:i/>
      <w:iCs/>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