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SENEBIER, JEAN </w:t>
      </w:r>
      <w:r>
        <w:rPr>
          <w:rFonts w:ascii="Times New Roman" w:eastAsia="Times New Roman" w:hAnsi="Times New Roman" w:cs="Times New Roman"/>
          <w:color w:val="000000"/>
          <w:spacing w:val="0"/>
          <w:w w:val="100"/>
          <w:position w:val="0"/>
          <w:shd w:val="clear" w:color="auto" w:fill="auto"/>
          <w:lang w:val="en-US" w:eastAsia="en-US" w:bidi="en-US"/>
        </w:rPr>
        <w:t>(1742-1809), Swiss pastor and voluminous writer on vegetable physiology, was born at Geneva on the 6th of May 1742. He is remembered on account of his contributions to our knowledge of the influence of light on vegetation. Though Marcello Malpighi and Stephen Hales had shown that a great part of the substance of plants must be obtained from the atmosphere, no progress was made until Charles Bonnet observed on leaves plunged in aerated water bubbles of gas, which Joseph Priestley recognized as oxygen. Jan Ingenhousz proved the simultaneous disappearance of carbonic acid; but it was Senebier who clearly showed that this activity was confined to the green parts, and to these only in sunlight, and first gave a connected view of the whole process of vegetable nutrition in strictly chemical terms. He died at Geneva on the 22nd of July 1809.</w:t>
      </w:r>
    </w:p>
    <w:p>
      <w:pPr>
        <w:pStyle w:val="Style6"/>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Sachs,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Botanik,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Arbeiten,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SENECA, the name of two famous men (father and son), natives of Corduba (Cordova) in Spain, who attained eminence in Rome under the Early Empire.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Lucius </w:t>
      </w:r>
      <w:r>
        <w:rPr>
          <w:rFonts w:ascii="Times New Roman" w:eastAsia="Times New Roman" w:hAnsi="Times New Roman" w:cs="Times New Roman"/>
          <w:smallCaps/>
          <w:color w:val="000000"/>
          <w:spacing w:val="0"/>
          <w:w w:val="100"/>
          <w:position w:val="0"/>
          <w:shd w:val="clear" w:color="auto" w:fill="auto"/>
          <w:lang w:val="en-US" w:eastAsia="en-US" w:bidi="en-US"/>
        </w:rPr>
        <w:t>Annaeus Seneca (</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54 </w:t>
      </w:r>
      <w:r>
        <w:rPr>
          <w:rFonts w:ascii="Times New Roman" w:eastAsia="Times New Roman" w:hAnsi="Times New Roman" w:cs="Times New Roman"/>
          <w:smallCaps/>
          <w:color w:val="000000"/>
          <w:spacing w:val="0"/>
          <w:w w:val="100"/>
          <w:position w:val="0"/>
          <w:shd w:val="clear" w:color="auto" w:fill="auto"/>
          <w:lang w:val="en-US" w:eastAsia="en-US" w:bidi="en-US"/>
        </w:rPr>
        <w:t>b.c.-a.d.</w:t>
      </w:r>
      <w:r>
        <w:rPr>
          <w:rFonts w:ascii="Times New Roman" w:eastAsia="Times New Roman" w:hAnsi="Times New Roman" w:cs="Times New Roman"/>
          <w:color w:val="000000"/>
          <w:spacing w:val="0"/>
          <w:w w:val="100"/>
          <w:position w:val="0"/>
          <w:shd w:val="clear" w:color="auto" w:fill="auto"/>
          <w:lang w:val="en-US" w:eastAsia="en-US" w:bidi="en-US"/>
        </w:rPr>
        <w:t xml:space="preserve"> 39), called Seneca “ the elder ” or “ the rhetorician,” belonged to a well-to-do equestrian family of Corduba. His praenomen is uncertain, but in any case Marcus is an arbitrary conjecture of Raphael of Volterra. During a lengthy stay on two occasions at Rome he attended the lectures of famous orators and rhetoricians, to prepare for an official career as an advocate. His ideal orator was Cicero, and he disapproved of the florid tendencies of the oratory of his time. During the civil wars (which kept him in Spain and thus prevented him from ever hearing Cicero speak) his sympathies, like those of his native place, were probably with Pompey, as were those of his son and his grandson (the poet Lucan). By his wife Helvia of Corduba he had three sons: L. Annaeus Novatus, adopted by his father’s friend, the rhetorician Junius Gallio, and subsequently called L. Junius Gallio; L. Annaeus Seneca, the philosopher; Annaeus Mela, the father of the poet Lucan. As he died before his son was banished by Claudius (41; Seneca, a</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 Helυiam,</w:t>
      </w:r>
      <w:r>
        <w:rPr>
          <w:rFonts w:ascii="Times New Roman" w:eastAsia="Times New Roman" w:hAnsi="Times New Roman" w:cs="Times New Roman"/>
          <w:color w:val="000000"/>
          <w:spacing w:val="0"/>
          <w:w w:val="100"/>
          <w:position w:val="0"/>
          <w:shd w:val="clear" w:color="auto" w:fill="auto"/>
          <w:lang w:val="en-US" w:eastAsia="en-US" w:bidi="en-US"/>
        </w:rPr>
        <w:t xml:space="preserve"> ii. 4), and the latest references in his writings are to the period immedi- ately after the death of Tiberius, he probably died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39. At an advanced age, at the request of his sons, he prepared, it is said from memory, a collection of various school themes and their treatment by Greek and Roman orators. These he arranged in ten books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Controversiae</w:t>
      </w:r>
      <w:r>
        <w:rPr>
          <w:rFonts w:ascii="Times New Roman" w:eastAsia="Times New Roman" w:hAnsi="Times New Roman" w:cs="Times New Roman"/>
          <w:color w:val="000000"/>
          <w:spacing w:val="0"/>
          <w:w w:val="100"/>
          <w:position w:val="0"/>
          <w:shd w:val="clear" w:color="auto" w:fill="auto"/>
          <w:lang w:val="en-US" w:eastAsia="en-US" w:bidi="en-US"/>
        </w:rPr>
        <w:t xml:space="preserve"> (imaginary legal cases) in which 74 themes were discussed, the opinions of the rhetoricians upon each case being given from different points of view, then their division of the case into different single questions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(divisio),</w:t>
      </w:r>
      <w:r>
        <w:rPr>
          <w:rFonts w:ascii="Times New Roman" w:eastAsia="Times New Roman" w:hAnsi="Times New Roman" w:cs="Times New Roman"/>
          <w:color w:val="000000"/>
          <w:spacing w:val="0"/>
          <w:w w:val="100"/>
          <w:position w:val="0"/>
          <w:shd w:val="clear" w:color="auto" w:fill="auto"/>
          <w:lang w:val="en-US" w:eastAsia="en-US" w:bidi="en-US"/>
        </w:rPr>
        <w:t xml:space="preserve"> and, finally, the devices for making black appear white and extenuating injustice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(colores).</w:t>
      </w:r>
      <w:r>
        <w:rPr>
          <w:rFonts w:ascii="Times New Roman" w:eastAsia="Times New Roman" w:hAnsi="Times New Roman" w:cs="Times New Roman"/>
          <w:color w:val="000000"/>
          <w:spacing w:val="0"/>
          <w:w w:val="100"/>
          <w:position w:val="0"/>
          <w:shd w:val="clear" w:color="auto" w:fill="auto"/>
          <w:lang w:val="en-US" w:eastAsia="en-US" w:bidi="en-US"/>
        </w:rPr>
        <w:t xml:space="preserve"> Each book was introduced by a preface, in which the characteristics of individual rhetoricians were discussed in a lively manner. The work is incomplete, but the gaps can be to a certain extent filled up with the aid of an epitome made in the 4th or 5th century for the use of schools. The romantic elements were utilized in the collection of anecdotes and tales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Gesta Romanorum (q.v.).</w:t>
      </w:r>
      <w:r>
        <w:rPr>
          <w:rFonts w:ascii="Times New Roman" w:eastAsia="Times New Roman" w:hAnsi="Times New Roman" w:cs="Times New Roman"/>
          <w:color w:val="000000"/>
          <w:spacing w:val="0"/>
          <w:w w:val="100"/>
          <w:position w:val="0"/>
          <w:shd w:val="clear" w:color="auto" w:fill="auto"/>
          <w:lang w:val="en-US" w:eastAsia="en-US" w:bidi="en-US"/>
        </w:rPr>
        <w:t xml:space="preserve"> For books i., ii., vii., ix., x. we possess both the original and the epitome; for the re</w:t>
        <w:softHyphen/>
        <w:t xml:space="preserve">mainder we have to rely upon the epitome alone. Even with the aid of the latter, only seven of the prefaces are available.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Controversiae</w:t>
      </w:r>
      <w:r>
        <w:rPr>
          <w:rFonts w:ascii="Times New Roman" w:eastAsia="Times New Roman" w:hAnsi="Times New Roman" w:cs="Times New Roman"/>
          <w:color w:val="000000"/>
          <w:spacing w:val="0"/>
          <w:w w:val="100"/>
          <w:position w:val="0"/>
          <w:shd w:val="clear" w:color="auto" w:fill="auto"/>
          <w:lang w:val="en-US" w:eastAsia="en-US" w:bidi="en-US"/>
        </w:rPr>
        <w:t xml:space="preserve"> were supplemented by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Suasoriae</w:t>
      </w:r>
      <w:r>
        <w:rPr>
          <w:rFonts w:ascii="Times New Roman" w:eastAsia="Times New Roman" w:hAnsi="Times New Roman" w:cs="Times New Roman"/>
          <w:color w:val="000000"/>
          <w:spacing w:val="0"/>
          <w:w w:val="100"/>
          <w:position w:val="0"/>
          <w:shd w:val="clear" w:color="auto" w:fill="auto"/>
          <w:lang w:val="en-US" w:eastAsia="en-US" w:bidi="en-US"/>
        </w:rPr>
        <w:t xml:space="preserve"> (exercises in hortatory or deliberative oratory), in which the question is discussed whether certain things should or should not be done. The whole forms the most important authority for the history of contemporary oratory. Seneca was also the author of a lost historical work, containing the history of Rome from the begin</w:t>
        <w:softHyphen/>
        <w:t xml:space="preserve">ning of the civil wars almost down to his own death, after which it was published by his son. Of this we learn something from the younger Seneca’s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vita patris</w:t>
      </w:r>
      <w:r>
        <w:rPr>
          <w:rFonts w:ascii="Times New Roman" w:eastAsia="Times New Roman" w:hAnsi="Times New Roman" w:cs="Times New Roman"/>
          <w:color w:val="000000"/>
          <w:spacing w:val="0"/>
          <w:w w:val="100"/>
          <w:position w:val="0"/>
          <w:shd w:val="clear" w:color="auto" w:fill="auto"/>
          <w:lang w:val="en-US" w:eastAsia="en-US" w:bidi="en-US"/>
        </w:rPr>
        <w:t xml:space="preserve"> (H. Peter,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Historicorum Romanorum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fragmenta,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1883, pp. 292, 301), of which the beginning was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G. Niebuhr. The father’s claim to the authorship of the rhetorical work, generally ascribed to the son during the middle ages, was vindicated by Raphael of Volterra and Justus Lipsius.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Editions.</w:t>
      </w:r>
      <w:r>
        <w:rPr>
          <w:rFonts w:ascii="Times New Roman" w:eastAsia="Times New Roman" w:hAnsi="Times New Roman" w:cs="Times New Roman"/>
          <w:color w:val="000000"/>
          <w:spacing w:val="0"/>
          <w:w w:val="100"/>
          <w:position w:val="0"/>
          <w:shd w:val="clear" w:color="auto" w:fill="auto"/>
          <w:lang w:val="en-US" w:eastAsia="en-US" w:bidi="en-US"/>
        </w:rPr>
        <w:t xml:space="preserve">—N. Faber (Paris, 1587); J. F. Gronovius (Leiden, 1649, Amsterdam, 1672); (critical) C. Bursian (Leipzig, 1857); A. Kiessling (Leipzig, 1872);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J. Müller (Prague, 1887, with many unnecessary conjectures). See also article by O.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in Pauly-</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Wissowa's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Realencyklopädie,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i. pt. 2 (1894); Teuffel-Schwabe,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Roman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1900), 269; M. </w:t>
      </w:r>
      <w:r>
        <w:rPr>
          <w:rFonts w:ascii="Times New Roman" w:eastAsia="Times New Roman" w:hAnsi="Times New Roman" w:cs="Times New Roman"/>
          <w:color w:val="000000"/>
          <w:spacing w:val="0"/>
          <w:w w:val="100"/>
          <w:position w:val="0"/>
          <w:shd w:val="clear" w:color="auto" w:fill="auto"/>
          <w:lang w:val="de-DE" w:eastAsia="de-DE" w:bidi="de-DE"/>
        </w:rPr>
        <w:t xml:space="preserve">Schanz,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Geschichte der römischen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Litteratur,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1 (1899); and the chapter on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Declaimers,” in G. A. Simcox,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Latin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i. (1883). On Seneca’s style, see Max Sander,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Sprachgebrauch 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Rhetor A. 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(Waren, </w:t>
      </w:r>
      <w:r>
        <w:rPr>
          <w:rFonts w:ascii="Times New Roman" w:eastAsia="Times New Roman" w:hAnsi="Times New Roman" w:cs="Times New Roman"/>
          <w:color w:val="000000"/>
          <w:spacing w:val="0"/>
          <w:w w:val="100"/>
          <w:position w:val="0"/>
          <w:shd w:val="clear" w:color="auto" w:fill="auto"/>
          <w:lang w:val="en-US" w:eastAsia="en-US" w:bidi="en-US"/>
        </w:rPr>
        <w:t xml:space="preserve">1877-1880);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Ahlheim,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Senecae rhetoris usu dicendi</w:t>
      </w:r>
      <w:r>
        <w:rPr>
          <w:rFonts w:ascii="Times New Roman" w:eastAsia="Times New Roman" w:hAnsi="Times New Roman" w:cs="Times New Roman"/>
          <w:color w:val="000000"/>
          <w:spacing w:val="0"/>
          <w:w w:val="100"/>
          <w:position w:val="0"/>
          <w:shd w:val="clear" w:color="auto" w:fill="auto"/>
          <w:lang w:val="en-US" w:eastAsia="en-US" w:bidi="en-US"/>
        </w:rPr>
        <w:t xml:space="preserve"> (Giessen, 1886); E. </w:t>
      </w:r>
      <w:r>
        <w:rPr>
          <w:rFonts w:ascii="Times New Roman" w:eastAsia="Times New Roman" w:hAnsi="Times New Roman" w:cs="Times New Roman"/>
          <w:color w:val="000000"/>
          <w:spacing w:val="0"/>
          <w:w w:val="100"/>
          <w:position w:val="0"/>
          <w:shd w:val="clear" w:color="auto" w:fill="auto"/>
          <w:lang w:val="de-DE" w:eastAsia="de-DE" w:bidi="de-DE"/>
        </w:rPr>
        <w:t xml:space="preserve">Norden,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antike Kunstprosa </w:t>
      </w:r>
      <w:r>
        <w:rPr>
          <w:rFonts w:ascii="Times New Roman" w:eastAsia="Times New Roman" w:hAnsi="Times New Roman" w:cs="Times New Roman"/>
          <w:color w:val="000000"/>
          <w:spacing w:val="0"/>
          <w:w w:val="100"/>
          <w:position w:val="0"/>
          <w:shd w:val="clear" w:color="auto" w:fill="auto"/>
          <w:lang w:val="en-US" w:eastAsia="en-US" w:bidi="en-US"/>
        </w:rPr>
        <w:t xml:space="preserve">(1898), p. 300; on his influence upon his son the philosopher, E. </w:t>
      </w:r>
      <w:r>
        <w:rPr>
          <w:rFonts w:ascii="Times New Roman" w:eastAsia="Times New Roman" w:hAnsi="Times New Roman" w:cs="Times New Roman"/>
          <w:color w:val="000000"/>
          <w:spacing w:val="0"/>
          <w:w w:val="100"/>
          <w:position w:val="0"/>
          <w:shd w:val="clear" w:color="auto" w:fill="auto"/>
          <w:lang w:val="de-DE" w:eastAsia="de-DE" w:bidi="de-DE"/>
        </w:rPr>
        <w:t xml:space="preserve">Rolland,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 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influence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Sénèque le père et des rhéteurs sur Sénèque le philosophe (1906)</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 </w:t>
      </w:r>
      <w:r>
        <w:rPr>
          <w:rFonts w:ascii="Times New Roman" w:eastAsia="Times New Roman" w:hAnsi="Times New Roman" w:cs="Times New Roman"/>
          <w:color w:val="000000"/>
          <w:spacing w:val="0"/>
          <w:w w:val="100"/>
          <w:position w:val="0"/>
          <w:shd w:val="clear" w:color="auto" w:fill="auto"/>
          <w:lang w:val="fr-FR" w:eastAsia="fr-FR" w:bidi="fr-FR"/>
        </w:rPr>
        <w:t xml:space="preserve">use </w:t>
      </w:r>
      <w:r>
        <w:rPr>
          <w:rFonts w:ascii="Times New Roman" w:eastAsia="Times New Roman" w:hAnsi="Times New Roman" w:cs="Times New Roman"/>
          <w:color w:val="000000"/>
          <w:spacing w:val="0"/>
          <w:w w:val="100"/>
          <w:position w:val="0"/>
          <w:shd w:val="clear" w:color="auto" w:fill="auto"/>
          <w:lang w:val="en-US" w:eastAsia="en-US" w:bidi="en-US"/>
        </w:rPr>
        <w:t xml:space="preserve">of Seneca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Gesta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Romanorum, </w:t>
      </w:r>
      <w:r>
        <w:rPr>
          <w:rFonts w:ascii="Times New Roman" w:eastAsia="Times New Roman" w:hAnsi="Times New Roman" w:cs="Times New Roman"/>
          <w:color w:val="000000"/>
          <w:spacing w:val="0"/>
          <w:w w:val="100"/>
          <w:position w:val="0"/>
          <w:shd w:val="clear" w:color="auto" w:fill="auto"/>
          <w:lang w:val="en-US" w:eastAsia="en-US" w:bidi="en-US"/>
        </w:rPr>
        <w:t xml:space="preserve">see L. Friedländer,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Darstellungen aus der Sittengeschichte Roms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color w:val="000000"/>
          <w:spacing w:val="0"/>
          <w:w w:val="100"/>
          <w:position w:val="0"/>
          <w:shd w:val="clear" w:color="auto" w:fill="auto"/>
          <w:lang w:val="en-US" w:eastAsia="en-US" w:bidi="en-US"/>
        </w:rPr>
        <w:t xml:space="preserve">trans., </w:t>
      </w:r>
      <w:r>
        <w:rPr>
          <w:rFonts w:ascii="Times New Roman" w:eastAsia="Times New Roman" w:hAnsi="Times New Roman" w:cs="Times New Roman"/>
          <w:color w:val="000000"/>
          <w:spacing w:val="0"/>
          <w:w w:val="100"/>
          <w:position w:val="0"/>
          <w:shd w:val="clear" w:color="auto" w:fill="auto"/>
          <w:lang w:val="de-DE" w:eastAsia="de-DE" w:bidi="de-DE"/>
        </w:rPr>
        <w:t xml:space="preserve">iii. p. </w:t>
      </w:r>
      <w:r>
        <w:rPr>
          <w:rFonts w:ascii="Times New Roman" w:eastAsia="Times New Roman" w:hAnsi="Times New Roman" w:cs="Times New Roman"/>
          <w:color w:val="000000"/>
          <w:spacing w:val="0"/>
          <w:w w:val="100"/>
          <w:position w:val="0"/>
          <w:shd w:val="clear" w:color="auto" w:fill="auto"/>
          <w:lang w:val="en-US" w:eastAsia="en-US" w:bidi="en-US"/>
        </w:rPr>
        <w:t xml:space="preserve">16 and appendix </w:t>
      </w:r>
      <w:r>
        <w:rPr>
          <w:rFonts w:ascii="Times New Roman" w:eastAsia="Times New Roman" w:hAnsi="Times New Roman" w:cs="Times New Roman"/>
          <w:color w:val="000000"/>
          <w:spacing w:val="0"/>
          <w:w w:val="100"/>
          <w:position w:val="0"/>
          <w:shd w:val="clear" w:color="auto" w:fill="auto"/>
          <w:lang w:val="de-DE" w:eastAsia="de-DE" w:bidi="de-DE"/>
        </w:rPr>
        <w:t>in iv.).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Lucius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Annaeus Seneca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smallCaps/>
          <w:color w:val="000000"/>
          <w:spacing w:val="0"/>
          <w:w w:val="100"/>
          <w:position w:val="0"/>
          <w:shd w:val="clear" w:color="auto" w:fill="auto"/>
          <w:lang w:val="de-DE" w:eastAsia="de-DE" w:bidi="de-DE"/>
        </w:rPr>
        <w:t>b.c.-a.d.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65), statesman and philosopher, was the second son of the rhetorician. His teachers were Attalus, a Stoic, and Sotion, a pupil of the Sextii. In his youth he was a vegetarian and a water-drinker, but his father checked his indulgence in asceticism. He devoted himself to rhetorical and philosophical studies and early won a reputation at the bar. Gaius criticised his style as mere mosaic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(commissuras meras) </w:t>
      </w:r>
      <w:r>
        <w:rPr>
          <w:rFonts w:ascii="Times New Roman" w:eastAsia="Times New Roman" w:hAnsi="Times New Roman" w:cs="Times New Roman"/>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 sand without lime,” yet being in reality jealous of his successes he would have put him to death had he not been assured that he was too consumptive to live long (Suet.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Calig.</w:t>
      </w:r>
      <w:r>
        <w:rPr>
          <w:rFonts w:ascii="Times New Roman" w:eastAsia="Times New Roman" w:hAnsi="Times New Roman" w:cs="Times New Roman"/>
          <w:color w:val="000000"/>
          <w:spacing w:val="0"/>
          <w:w w:val="100"/>
          <w:position w:val="0"/>
          <w:shd w:val="clear" w:color="auto" w:fill="auto"/>
          <w:lang w:val="en-US" w:eastAsia="en-US" w:bidi="en-US"/>
        </w:rPr>
        <w:t xml:space="preserve"> 63; Dio Cassius lix. 19. 7). Under Claudius his political career (he had been quaestor) received a sudden check, for the influence of Messallina having effected the ruin of Julia, the sister of Gaius, Seneca, who was compromised by her downfall, was banished to Corsica,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41. There eight weary years of waiting were relieved by study and authorship, with occasional attempts to procure his return by such gross flattery of Claudius as is found in the work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Ad Polybium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consolations</w:t>
      </w:r>
      <w:r>
        <w:rPr>
          <w:rFonts w:ascii="Times New Roman" w:eastAsia="Times New Roman" w:hAnsi="Times New Roman" w:cs="Times New Roman"/>
          <w:color w:val="000000"/>
          <w:spacing w:val="0"/>
          <w:w w:val="100"/>
          <w:position w:val="0"/>
          <w:shd w:val="clear" w:color="auto" w:fill="auto"/>
          <w:lang w:val="en-US" w:eastAsia="en-US" w:bidi="en-US"/>
        </w:rPr>
        <w:t xml:space="preserve"> or the panegyric on Messallina which he afterwards suppressed. At length the tide turned; the next empress, Agrippina, had him recalled, appointed praetor, and entrusted with the education of her son Nero, then (48) eleven years old. Seneca became in fact Agrippina’s con</w:t>
        <w:softHyphen/>
        <w:t xml:space="preserve">fidential adviser; and his pupil’s accession increased his power. He was consul in 57, and during the first bright years of the new reign,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quinquennium Neronis,</w:t>
      </w:r>
      <w:r>
        <w:rPr>
          <w:rFonts w:ascii="Times New Roman" w:eastAsia="Times New Roman" w:hAnsi="Times New Roman" w:cs="Times New Roman"/>
          <w:color w:val="000000"/>
          <w:spacing w:val="0"/>
          <w:w w:val="100"/>
          <w:position w:val="0"/>
          <w:shd w:val="clear" w:color="auto" w:fill="auto"/>
          <w:lang w:val="en-US" w:eastAsia="en-US" w:bidi="en-US"/>
        </w:rPr>
        <w:t xml:space="preserve"> he shared the administration of affairs with Burrus, the praetorian prefect. The government in the hands of these men was wise and humane; their influence over Nero, while it lasted, was salutary, though some</w:t>
        <w:softHyphen/>
        <w:t xml:space="preserve">times maintained by doubtful means (see </w:t>
      </w:r>
      <w:r>
        <w:rPr>
          <w:rFonts w:ascii="Times New Roman" w:eastAsia="Times New Roman" w:hAnsi="Times New Roman" w:cs="Times New Roman"/>
          <w:smallCaps/>
          <w:color w:val="000000"/>
          <w:spacing w:val="0"/>
          <w:w w:val="100"/>
          <w:position w:val="0"/>
          <w:shd w:val="clear" w:color="auto" w:fill="auto"/>
          <w:lang w:val="en-US" w:eastAsia="en-US" w:bidi="en-US"/>
        </w:rPr>
        <w:t>Nero).</w:t>
      </w:r>
      <w:r>
        <w:rPr>
          <w:rFonts w:ascii="Times New Roman" w:eastAsia="Times New Roman" w:hAnsi="Times New Roman" w:cs="Times New Roman"/>
          <w:color w:val="000000"/>
          <w:spacing w:val="0"/>
          <w:w w:val="100"/>
          <w:position w:val="0"/>
          <w:shd w:val="clear" w:color="auto" w:fill="auto"/>
          <w:lang w:val="en-US" w:eastAsia="en-US" w:bidi="en-US"/>
        </w:rPr>
        <w:t xml:space="preserve"> We must, however, regard the general tendency of Seneca’s measures; to judge him as a Stoic philosopher by the counsels of perfection laid down in his writings would be much the same thing as to apply the standard of New Testament morality to the career of a Wolsey or Mazarin. He is the type of the man of letters who rises into favour by talent and suppleness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(comitas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honesta), </w:t>
      </w:r>
      <w:r>
        <w:rPr>
          <w:rFonts w:ascii="Times New Roman" w:eastAsia="Times New Roman" w:hAnsi="Times New Roman" w:cs="Times New Roman"/>
          <w:color w:val="000000"/>
          <w:spacing w:val="0"/>
          <w:w w:val="100"/>
          <w:position w:val="0"/>
          <w:shd w:val="clear" w:color="auto" w:fill="auto"/>
          <w:lang w:val="en-US" w:eastAsia="en-US" w:bidi="en-US"/>
        </w:rPr>
        <w:t xml:space="preserve">and is entitled as such to the rare credit of a beneficent rule. In course of time Nero got to dislike him more and more; the death of Burrus in 62 gave a shock to his position. In vain did he petition for permission to retire. Even when he had sought privacy on the plea of ill-health he could not avert his doom; on a charge of being concerned in Piso’s conspiracy he was forced to commit [suicide. His manly end might be held in some measure to redeem the weakness of his life but for the testimony it bears to his constant study of effect and ostentatious self- complacency. His second wife, Pompeia Paulina, of noble family, attempted to die with him. His enormous wealth was estimated at 300 millions of sesterces. He had 500 ivory tables inlaid with citron wood (Dio lxi. 10, lxii. 2). Some of the Fathers, probably in admiration of his ethics, reckoned Seneca among the Christians; this assumption in its turn led to the forgery of a correspondence between St Paul and Seneca which was known to Jerome (cf. Augustin,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153: “Seneca . . . </w:t>
      </w:r>
      <w:r>
        <w:rPr>
          <w:rFonts w:ascii="Times New Roman" w:eastAsia="Times New Roman" w:hAnsi="Times New Roman" w:cs="Times New Roman"/>
          <w:color w:val="000000"/>
          <w:spacing w:val="0"/>
          <w:w w:val="100"/>
          <w:position w:val="0"/>
          <w:shd w:val="clear" w:color="auto" w:fill="auto"/>
          <w:lang w:val="de-DE" w:eastAsia="de-DE" w:bidi="de-DE"/>
        </w:rPr>
        <w:t xml:space="preserve">cujus </w:t>
      </w:r>
      <w:r>
        <w:rPr>
          <w:rFonts w:ascii="Times New Roman" w:eastAsia="Times New Roman" w:hAnsi="Times New Roman" w:cs="Times New Roman"/>
          <w:color w:val="000000"/>
          <w:spacing w:val="0"/>
          <w:w w:val="100"/>
          <w:position w:val="0"/>
          <w:shd w:val="clear" w:color="auto" w:fill="auto"/>
          <w:lang w:val="en-US" w:eastAsia="en-US" w:bidi="en-US"/>
        </w:rPr>
        <w:t xml:space="preserve">etiam </w:t>
      </w:r>
      <w:r>
        <w:rPr>
          <w:rFonts w:ascii="Times New Roman" w:eastAsia="Times New Roman" w:hAnsi="Times New Roman" w:cs="Times New Roman"/>
          <w:color w:val="000000"/>
          <w:spacing w:val="0"/>
          <w:w w:val="100"/>
          <w:position w:val="0"/>
          <w:shd w:val="clear" w:color="auto" w:fill="auto"/>
          <w:lang w:val="de-DE" w:eastAsia="de-DE" w:bidi="de-DE"/>
        </w:rPr>
        <w:t xml:space="preserve">ad Paulum </w:t>
      </w:r>
      <w:r>
        <w:rPr>
          <w:rFonts w:ascii="Times New Roman" w:eastAsia="Times New Roman" w:hAnsi="Times New Roman" w:cs="Times New Roman"/>
          <w:color w:val="000000"/>
          <w:spacing w:val="0"/>
          <w:w w:val="100"/>
          <w:position w:val="0"/>
          <w:shd w:val="clear" w:color="auto" w:fill="auto"/>
          <w:lang w:val="en-US" w:eastAsia="en-US" w:bidi="en-US"/>
        </w:rPr>
        <w:t>apostolum leguntur epistolae ”). This has given rise to an interesting historical problem, most thoroughly discussed in many works on the Church in the Roman Empire.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Seneca is at once the most eminent among the Latin writers of the Silver Age and in a special sense their representative, not least because he was the originator of a false style. The affected and sentimental manner which gradually grew up in the first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became ingrained in him, and appears equally in everything which he wrote, whether poetry or prose, as the most finished product of ingenuity concentrated upon declamatory exercises, substance being sacrificed to form and thought to point. Every variety of rhetorical conceit in turn contributes to the dazzling effect, now</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