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tinsel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ornament, </w:t>
      </w:r>
      <w:r>
        <w:rPr>
          <w:rFonts w:ascii="Times New Roman" w:eastAsia="Times New Roman" w:hAnsi="Times New Roman" w:cs="Times New Roman"/>
          <w:color w:val="000000"/>
          <w:spacing w:val="0"/>
          <w:w w:val="100"/>
          <w:position w:val="0"/>
          <w:shd w:val="clear" w:color="auto" w:fill="auto"/>
          <w:lang w:val="en-US" w:eastAsia="en-US" w:bidi="en-US"/>
        </w:rPr>
        <w:t xml:space="preserve">now novelty </w:t>
      </w:r>
      <w:r>
        <w:rPr>
          <w:rFonts w:ascii="Times New Roman" w:eastAsia="Times New Roman" w:hAnsi="Times New Roman" w:cs="Times New Roman"/>
          <w:color w:val="000000"/>
          <w:spacing w:val="0"/>
          <w:w w:val="100"/>
          <w:position w:val="0"/>
          <w:shd w:val="clear" w:color="auto" w:fill="auto"/>
          <w:lang w:val="en-US" w:eastAsia="en-US" w:bidi="en-US"/>
        </w:rPr>
        <w:t xml:space="preserve">and versatility of treatment, or affected simplicity and studied absence of plan. But the chief weapon is the epigram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(sententia),</w:t>
      </w:r>
      <w:r>
        <w:rPr>
          <w:rFonts w:ascii="Times New Roman" w:eastAsia="Times New Roman" w:hAnsi="Times New Roman" w:cs="Times New Roman"/>
          <w:color w:val="000000"/>
          <w:spacing w:val="0"/>
          <w:w w:val="100"/>
          <w:position w:val="0"/>
          <w:shd w:val="clear" w:color="auto" w:fill="auto"/>
          <w:lang w:val="en-US" w:eastAsia="en-US" w:bidi="en-US"/>
        </w:rPr>
        <w:t xml:space="preserve"> summing up in terse incisive antithesis the gist of a whole period. “ Seneca is a man of real genius,” writes Niebuhr,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which is after all the main thing; not to be unjust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him, one must know the whole range of that litera- ture to which he belonged and realize how well he understood the art of making something even of what was most absurd.” His works </w:t>
      </w:r>
      <w:r>
        <w:rPr>
          <w:rFonts w:ascii="Times New Roman" w:eastAsia="Times New Roman" w:hAnsi="Times New Roman" w:cs="Times New Roman"/>
          <w:color w:val="000000"/>
          <w:spacing w:val="0"/>
          <w:w w:val="100"/>
          <w:position w:val="0"/>
          <w:shd w:val="clear" w:color="auto" w:fill="auto"/>
          <w:lang w:val="en-US" w:eastAsia="en-US" w:bidi="en-US"/>
        </w:rPr>
        <w:t xml:space="preserve">were </w:t>
      </w:r>
      <w:r>
        <w:rPr>
          <w:rFonts w:ascii="Times New Roman" w:eastAsia="Times New Roman" w:hAnsi="Times New Roman" w:cs="Times New Roman"/>
          <w:color w:val="000000"/>
          <w:spacing w:val="0"/>
          <w:w w:val="100"/>
          <w:position w:val="0"/>
          <w:shd w:val="clear" w:color="auto" w:fill="auto"/>
          <w:lang w:val="en-US" w:eastAsia="en-US" w:bidi="en-US"/>
        </w:rPr>
        <w:t xml:space="preserve">upon various subjects. (1) His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Orations,</w:t>
      </w:r>
      <w:r>
        <w:rPr>
          <w:rFonts w:ascii="Times New Roman" w:eastAsia="Times New Roman" w:hAnsi="Times New Roman" w:cs="Times New Roman"/>
          <w:color w:val="000000"/>
          <w:spacing w:val="0"/>
          <w:w w:val="100"/>
          <w:position w:val="0"/>
          <w:shd w:val="clear" w:color="auto" w:fill="auto"/>
          <w:lang w:val="en-US" w:eastAsia="en-US" w:bidi="en-US"/>
        </w:rPr>
        <w:t xml:space="preserve"> probably the speeches which Nero delivered, are lost, as also a biography of his father, </w:t>
      </w:r>
      <w:r>
        <w:rPr>
          <w:rFonts w:ascii="Times New Roman" w:eastAsia="Times New Roman" w:hAnsi="Times New Roman" w:cs="Times New Roman"/>
          <w:color w:val="000000"/>
          <w:spacing w:val="0"/>
          <w:w w:val="100"/>
          <w:position w:val="0"/>
          <w:shd w:val="clear" w:color="auto" w:fill="auto"/>
          <w:lang w:val="en-US" w:eastAsia="en-US" w:bidi="en-US"/>
        </w:rPr>
        <w:t xml:space="preserve">and (2) </w:t>
      </w:r>
      <w:r>
        <w:rPr>
          <w:rFonts w:ascii="Times New Roman" w:eastAsia="Times New Roman" w:hAnsi="Times New Roman" w:cs="Times New Roman"/>
          <w:color w:val="000000"/>
          <w:spacing w:val="0"/>
          <w:w w:val="100"/>
          <w:position w:val="0"/>
          <w:shd w:val="clear" w:color="auto" w:fill="auto"/>
          <w:lang w:val="en-US" w:eastAsia="en-US" w:bidi="en-US"/>
        </w:rPr>
        <w:t xml:space="preserve">his earlier scientific works, such as the monographs describing India and Egypt and one upon earthquakes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(Nat. Qu. </w:t>
      </w:r>
      <w:r>
        <w:rPr>
          <w:rFonts w:ascii="Times New Roman" w:eastAsia="Times New Roman" w:hAnsi="Times New Roman" w:cs="Times New Roman"/>
          <w:color w:val="000000"/>
          <w:spacing w:val="0"/>
          <w:w w:val="100"/>
          <w:position w:val="0"/>
          <w:shd w:val="clear" w:color="auto" w:fill="auto"/>
          <w:lang w:val="en-US" w:eastAsia="en-US" w:bidi="en-US"/>
        </w:rPr>
        <w:t xml:space="preserve">νi. 4. 2). The seven </w:t>
      </w:r>
      <w:r>
        <w:rPr>
          <w:rFonts w:ascii="Times New Roman" w:eastAsia="Times New Roman" w:hAnsi="Times New Roman" w:cs="Times New Roman"/>
          <w:color w:val="000000"/>
          <w:spacing w:val="0"/>
          <w:w w:val="100"/>
          <w:position w:val="0"/>
          <w:shd w:val="clear" w:color="auto" w:fill="auto"/>
          <w:lang w:val="en-US" w:eastAsia="en-US" w:bidi="en-US"/>
        </w:rPr>
        <w:t xml:space="preserve">extant </w:t>
      </w:r>
      <w:r>
        <w:rPr>
          <w:rFonts w:ascii="Times New Roman" w:eastAsia="Times New Roman" w:hAnsi="Times New Roman" w:cs="Times New Roman"/>
          <w:color w:val="000000"/>
          <w:spacing w:val="0"/>
          <w:w w:val="100"/>
          <w:position w:val="0"/>
          <w:shd w:val="clear" w:color="auto" w:fill="auto"/>
          <w:lang w:val="en-US" w:eastAsia="en-US" w:bidi="en-US"/>
        </w:rPr>
        <w:t xml:space="preserve">books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Physical Investigations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(Natu</w:t>
        <w:softHyphen/>
        <w:t xml:space="preserve">rales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Quaestiones;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trans. John Clarke, with introd. by Sir Archibald Geikie, </w:t>
      </w:r>
      <w:r>
        <w:rPr>
          <w:rFonts w:ascii="Times New Roman" w:eastAsia="Times New Roman" w:hAnsi="Times New Roman" w:cs="Times New Roman"/>
          <w:color w:val="000000"/>
          <w:spacing w:val="0"/>
          <w:w w:val="100"/>
          <w:position w:val="0"/>
          <w:shd w:val="clear" w:color="auto" w:fill="auto"/>
          <w:lang w:val="en-US" w:eastAsia="en-US" w:bidi="en-US"/>
        </w:rPr>
        <w:t xml:space="preserve">1910) </w:t>
      </w:r>
      <w:r>
        <w:rPr>
          <w:rFonts w:ascii="Times New Roman" w:eastAsia="Times New Roman" w:hAnsi="Times New Roman" w:cs="Times New Roman"/>
          <w:color w:val="000000"/>
          <w:spacing w:val="0"/>
          <w:w w:val="100"/>
          <w:position w:val="0"/>
          <w:shd w:val="clear" w:color="auto" w:fill="auto"/>
          <w:lang w:val="en-US" w:eastAsia="en-US" w:bidi="en-US"/>
        </w:rPr>
        <w:t xml:space="preserve">treat in a popular manner of meteorology and </w:t>
      </w:r>
      <w:r>
        <w:rPr>
          <w:rFonts w:ascii="Times New Roman" w:eastAsia="Times New Roman" w:hAnsi="Times New Roman" w:cs="Times New Roman"/>
          <w:color w:val="000000"/>
          <w:spacing w:val="0"/>
          <w:w w:val="100"/>
          <w:position w:val="0"/>
          <w:shd w:val="clear" w:color="auto" w:fill="auto"/>
          <w:lang w:val="en-US" w:eastAsia="en-US" w:bidi="en-US"/>
        </w:rPr>
        <w:t xml:space="preserve">astronomy; </w:t>
      </w:r>
      <w:r>
        <w:rPr>
          <w:rFonts w:ascii="Times New Roman" w:eastAsia="Times New Roman" w:hAnsi="Times New Roman" w:cs="Times New Roman"/>
          <w:color w:val="000000"/>
          <w:spacing w:val="0"/>
          <w:w w:val="100"/>
          <w:position w:val="0"/>
          <w:shd w:val="clear" w:color="auto" w:fill="auto"/>
          <w:lang w:val="en-US" w:eastAsia="en-US" w:bidi="en-US"/>
        </w:rPr>
        <w:t xml:space="preserve">the work has little scientific merit, yet here and there Seneca, or his authority, has a shrewd guess,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that there is a connexion between earthquakes and volcanoes, and that comets are bodies like the planets revolving in fixed orbits. (3)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Satire on the Death</w:t>
      </w:r>
      <w:r>
        <w:rPr>
          <w:rFonts w:ascii="Times New Roman" w:eastAsia="Times New Roman" w:hAnsi="Times New Roman" w:cs="Times New Roman"/>
          <w:color w:val="000000"/>
          <w:spacing w:val="0"/>
          <w:w w:val="100"/>
          <w:position w:val="0"/>
          <w:shd w:val="clear" w:color="auto" w:fill="auto"/>
          <w:lang w:val="en-US" w:eastAsia="en-US" w:bidi="en-US"/>
        </w:rPr>
        <w:t xml:space="preserve"> (and deification, literally “ pumpkinification ”)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of Claudius</w:t>
      </w:r>
      <w:r>
        <w:rPr>
          <w:rFonts w:ascii="Times New Roman" w:eastAsia="Times New Roman" w:hAnsi="Times New Roman" w:cs="Times New Roman"/>
          <w:color w:val="000000"/>
          <w:spacing w:val="0"/>
          <w:w w:val="100"/>
          <w:position w:val="0"/>
          <w:shd w:val="clear" w:color="auto" w:fill="auto"/>
          <w:lang w:val="en-US" w:eastAsia="en-US" w:bidi="en-US"/>
        </w:rPr>
        <w:t xml:space="preserve"> (ed. Bücheler, Berlin, 1882) is a specimen of the “ satira Menippea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medley of prose and verse. The writer’s spite against the dead emperor before whom he had cringed servilely shows in a sorry fashion when he fastens on the wise and liberal measure of conferring the franchise upon Gaulish nobles as a theme for abuse. (4) The remaining prose works are of the nature of moral essays, bearing various titles—twelve so-called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Dialogues,</w:t>
      </w:r>
      <w:r>
        <w:rPr>
          <w:rFonts w:ascii="Times New Roman" w:eastAsia="Times New Roman" w:hAnsi="Times New Roman" w:cs="Times New Roman"/>
          <w:color w:val="000000"/>
          <w:spacing w:val="0"/>
          <w:w w:val="100"/>
          <w:position w:val="0"/>
          <w:shd w:val="clear" w:color="auto" w:fill="auto"/>
          <w:lang w:val="en-US" w:eastAsia="en-US" w:bidi="en-US"/>
        </w:rPr>
        <w:t xml:space="preserve"> three books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On Clemency</w:t>
      </w:r>
      <w:r>
        <w:rPr>
          <w:rFonts w:ascii="Times New Roman" w:eastAsia="Times New Roman" w:hAnsi="Times New Roman" w:cs="Times New Roman"/>
          <w:color w:val="000000"/>
          <w:spacing w:val="0"/>
          <w:w w:val="100"/>
          <w:position w:val="0"/>
          <w:shd w:val="clear" w:color="auto" w:fill="auto"/>
          <w:lang w:val="en-US" w:eastAsia="en-US" w:bidi="en-US"/>
        </w:rPr>
        <w:t xml:space="preserve"> dedicated to Nero, seven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On Benefits,</w:t>
      </w:r>
      <w:r>
        <w:rPr>
          <w:rFonts w:ascii="Times New Roman" w:eastAsia="Times New Roman" w:hAnsi="Times New Roman" w:cs="Times New Roman"/>
          <w:color w:val="000000"/>
          <w:spacing w:val="0"/>
          <w:w w:val="100"/>
          <w:position w:val="0"/>
          <w:shd w:val="clear" w:color="auto" w:fill="auto"/>
          <w:lang w:val="en-US" w:eastAsia="en-US" w:bidi="en-US"/>
        </w:rPr>
        <w:t xml:space="preserve"> twenty books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Letters to Lucilius</w:t>
      </w:r>
      <w:r>
        <w:rPr>
          <w:rFonts w:ascii="Times New Roman" w:eastAsia="Times New Roman" w:hAnsi="Times New Roman" w:cs="Times New Roman"/>
          <w:color w:val="000000"/>
          <w:spacing w:val="0"/>
          <w:w w:val="100"/>
          <w:position w:val="0"/>
          <w:shd w:val="clear" w:color="auto" w:fill="auto"/>
          <w:lang w:val="en-US" w:eastAsia="en-US" w:bidi="en-US"/>
        </w:rPr>
        <w:t xml:space="preserve"> (ed. Hense, Leipzig, 1898; W. C. Summers published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selection in 1910). They are all alike in discussing practical questions and in addressing a single reader in a tone of familiar conversation, the objections he is supposed to make being occasionally cited and answered. Seneca had the wit to discover that conduct, which is after all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three-fourths of life,” could furnish inexhaustible topics of abiding universal interest far superior to the imaginary themes </w:t>
      </w:r>
      <w:r>
        <w:rPr>
          <w:rFonts w:ascii="Times New Roman" w:eastAsia="Times New Roman" w:hAnsi="Times New Roman" w:cs="Times New Roman"/>
          <w:color w:val="000000"/>
          <w:spacing w:val="0"/>
          <w:w w:val="100"/>
          <w:position w:val="0"/>
          <w:shd w:val="clear" w:color="auto" w:fill="auto"/>
          <w:lang w:val="en-US" w:eastAsia="en-US" w:bidi="en-US"/>
        </w:rPr>
        <w:t xml:space="preserve">set </w:t>
      </w:r>
      <w:r>
        <w:rPr>
          <w:rFonts w:ascii="Times New Roman" w:eastAsia="Times New Roman" w:hAnsi="Times New Roman" w:cs="Times New Roman"/>
          <w:color w:val="000000"/>
          <w:spacing w:val="0"/>
          <w:w w:val="100"/>
          <w:position w:val="0"/>
          <w:shd w:val="clear" w:color="auto" w:fill="auto"/>
          <w:lang w:val="en-US" w:eastAsia="en-US" w:bidi="en-US"/>
        </w:rPr>
        <w:t xml:space="preserve">in the schools and abundantly analysed in his father’s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Controversiae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Suasoriae,</w:t>
      </w:r>
      <w:r>
        <w:rPr>
          <w:rFonts w:ascii="Times New Roman" w:eastAsia="Times New Roman" w:hAnsi="Times New Roman" w:cs="Times New Roman"/>
          <w:color w:val="000000"/>
          <w:spacing w:val="0"/>
          <w:w w:val="100"/>
          <w:position w:val="0"/>
          <w:shd w:val="clear" w:color="auto" w:fill="auto"/>
          <w:lang w:val="en-US" w:eastAsia="en-US" w:bidi="en-US"/>
        </w:rPr>
        <w:t xml:space="preserve"> such as poisoning cases, or tyrannicide, or even historical persons like Hannibal and Sulla. The innovation took the public taste,</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plain matters of urgent personal concern sometimes treated casuistically, sometimes in a liberal vein with serious divergence from the orthodox standards, but always with an earnestness which aimed directly at the reader’s edification, progress towards virtue and general moral improvement. The </w:t>
      </w:r>
      <w:r>
        <w:rPr>
          <w:rFonts w:ascii="Times New Roman" w:eastAsia="Times New Roman" w:hAnsi="Times New Roman" w:cs="Times New Roman"/>
          <w:color w:val="000000"/>
          <w:spacing w:val="0"/>
          <w:w w:val="100"/>
          <w:position w:val="0"/>
          <w:shd w:val="clear" w:color="auto" w:fill="auto"/>
          <w:lang w:val="en-US" w:eastAsia="en-US" w:bidi="en-US"/>
        </w:rPr>
        <w:t xml:space="preserve">essays </w:t>
      </w:r>
      <w:r>
        <w:rPr>
          <w:rFonts w:ascii="Times New Roman" w:eastAsia="Times New Roman" w:hAnsi="Times New Roman" w:cs="Times New Roman"/>
          <w:color w:val="000000"/>
          <w:spacing w:val="0"/>
          <w:w w:val="100"/>
          <w:position w:val="0"/>
          <w:shd w:val="clear" w:color="auto" w:fill="auto"/>
          <w:lang w:val="en-US" w:eastAsia="en-US" w:bidi="en-US"/>
        </w:rPr>
        <w:t xml:space="preserve">are in fact Stoic sermons; for the creed of the later Stoics had become </w:t>
      </w:r>
      <w:r>
        <w:rPr>
          <w:rFonts w:ascii="Times New Roman" w:eastAsia="Times New Roman" w:hAnsi="Times New Roman" w:cs="Times New Roman"/>
          <w:color w:val="000000"/>
          <w:spacing w:val="0"/>
          <w:w w:val="100"/>
          <w:position w:val="0"/>
          <w:shd w:val="clear" w:color="auto" w:fill="auto"/>
          <w:lang w:val="en-US" w:eastAsia="en-US" w:bidi="en-US"/>
        </w:rPr>
        <w:t xml:space="preserve">less </w:t>
      </w:r>
      <w:r>
        <w:rPr>
          <w:rFonts w:ascii="Times New Roman" w:eastAsia="Times New Roman" w:hAnsi="Times New Roman" w:cs="Times New Roman"/>
          <w:color w:val="000000"/>
          <w:spacing w:val="0"/>
          <w:w w:val="100"/>
          <w:position w:val="0"/>
          <w:shd w:val="clear" w:color="auto" w:fill="auto"/>
          <w:lang w:val="en-US" w:eastAsia="en-US" w:bidi="en-US"/>
        </w:rPr>
        <w:t xml:space="preserve">of a philosophical system and more of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religion, especially at Rome, where moral and theological doctrines alone attracted lively interest. The school is remarkable for its anticipation of modern ethical conceptions, for the lofty morality of its exhortations to forgive injuries and overcome evil with good; the obligation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universal benevolence had been deduced from the cosmopolitan principle that all men are brethren. In Seneca, in addition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all this, there is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distinctively religious temperament, which finds expression in phrases curiously suggestive of the spiritual doctrines of Christianity. Yet the verbal coincidence is sometimes a mere accident, as when he uses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sacer spiritus∙,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same writings he sometimes advocates what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wholly repulsive to Christian feeling, </w:t>
      </w:r>
      <w:r>
        <w:rPr>
          <w:rFonts w:ascii="Times New Roman" w:eastAsia="Times New Roman" w:hAnsi="Times New Roman" w:cs="Times New Roman"/>
          <w:color w:val="000000"/>
          <w:spacing w:val="0"/>
          <w:w w:val="100"/>
          <w:position w:val="0"/>
          <w:shd w:val="clear" w:color="auto" w:fill="auto"/>
          <w:lang w:val="en-US" w:eastAsia="en-US" w:bidi="en-US"/>
        </w:rPr>
        <w:t xml:space="preserve">as the </w:t>
      </w:r>
      <w:r>
        <w:rPr>
          <w:rFonts w:ascii="Times New Roman" w:eastAsia="Times New Roman" w:hAnsi="Times New Roman" w:cs="Times New Roman"/>
          <w:color w:val="000000"/>
          <w:spacing w:val="0"/>
          <w:w w:val="100"/>
          <w:position w:val="0"/>
          <w:shd w:val="clear" w:color="auto" w:fill="auto"/>
          <w:lang w:val="en-US" w:eastAsia="en-US" w:bidi="en-US"/>
        </w:rPr>
        <w:t>duty and privilege of suicide.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tragedies which bear Seneca’s name (</w:t>
      </w:r>
      <w:r>
        <w:rPr>
          <w:rFonts w:ascii="Times New Roman" w:eastAsia="Times New Roman" w:hAnsi="Times New Roman" w:cs="Times New Roman"/>
          <w:i/>
          <w:iCs/>
          <w:color w:val="000000"/>
          <w:spacing w:val="0"/>
          <w:w w:val="100"/>
          <w:position w:val="0"/>
          <w:shd w:val="clear" w:color="auto" w:fill="auto"/>
          <w:lang w:val="en-US" w:eastAsia="en-US" w:bidi="en-US"/>
        </w:rPr>
        <w:t xml:space="preserve">Hercules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Furens, Thyestes, Phoenissae, Phaedra, Oedipus, Troades, Medea, Agamemno, Hercules Oetaeus)</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color w:val="000000"/>
          <w:spacing w:val="0"/>
          <w:w w:val="100"/>
          <w:position w:val="0"/>
          <w:shd w:val="clear" w:color="auto" w:fill="auto"/>
          <w:lang w:val="en-US" w:eastAsia="en-US" w:bidi="en-US"/>
        </w:rPr>
        <w:t xml:space="preserve">defects of </w:t>
      </w:r>
      <w:r>
        <w:rPr>
          <w:rFonts w:ascii="Times New Roman" w:eastAsia="Times New Roman" w:hAnsi="Times New Roman" w:cs="Times New Roman"/>
          <w:color w:val="000000"/>
          <w:spacing w:val="0"/>
          <w:w w:val="100"/>
          <w:position w:val="0"/>
          <w:shd w:val="clear" w:color="auto" w:fill="auto"/>
          <w:lang w:val="en-US" w:eastAsia="en-US" w:bidi="en-US"/>
        </w:rPr>
        <w:t xml:space="preserve">his prose style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 xml:space="preserve">exaggerated : as specimens of </w:t>
      </w:r>
      <w:r>
        <w:rPr>
          <w:rFonts w:ascii="Times New Roman" w:eastAsia="Times New Roman" w:hAnsi="Times New Roman" w:cs="Times New Roman"/>
          <w:color w:val="000000"/>
          <w:spacing w:val="0"/>
          <w:w w:val="100"/>
          <w:position w:val="0"/>
          <w:shd w:val="clear" w:color="auto" w:fill="auto"/>
          <w:lang w:val="en-US" w:eastAsia="en-US" w:bidi="en-US"/>
        </w:rPr>
        <w:t xml:space="preserve">pompous </w:t>
      </w:r>
      <w:r>
        <w:rPr>
          <w:rFonts w:ascii="Times New Roman" w:eastAsia="Times New Roman" w:hAnsi="Times New Roman" w:cs="Times New Roman"/>
          <w:color w:val="000000"/>
          <w:spacing w:val="0"/>
          <w:w w:val="100"/>
          <w:position w:val="0"/>
          <w:shd w:val="clear" w:color="auto" w:fill="auto"/>
          <w:lang w:val="en-US" w:eastAsia="en-US" w:bidi="en-US"/>
        </w:rPr>
        <w:t xml:space="preserve">rant </w:t>
      </w:r>
      <w:r>
        <w:rPr>
          <w:rFonts w:ascii="Times New Roman" w:eastAsia="Times New Roman" w:hAnsi="Times New Roman" w:cs="Times New Roman"/>
          <w:color w:val="000000"/>
          <w:spacing w:val="0"/>
          <w:w w:val="100"/>
          <w:position w:val="0"/>
          <w:shd w:val="clear" w:color="auto" w:fill="auto"/>
          <w:lang w:val="en-US" w:eastAsia="en-US" w:bidi="en-US"/>
        </w:rPr>
        <w:t xml:space="preserve">they </w:t>
      </w:r>
      <w:r>
        <w:rPr>
          <w:rFonts w:ascii="Times New Roman" w:eastAsia="Times New Roman" w:hAnsi="Times New Roman" w:cs="Times New Roman"/>
          <w:color w:val="000000"/>
          <w:spacing w:val="0"/>
          <w:w w:val="100"/>
          <w:position w:val="0"/>
          <w:shd w:val="clear" w:color="auto" w:fill="auto"/>
          <w:lang w:val="en-US" w:eastAsia="en-US" w:bidi="en-US"/>
        </w:rPr>
        <w:t xml:space="preserve">are probably unequalled; and the rhythm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unpleasant owing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monotonous structure of the iambics and the neglect of synapheia in the anapaestic </w:t>
      </w:r>
      <w:r>
        <w:rPr>
          <w:rFonts w:ascii="Times New Roman" w:eastAsia="Times New Roman" w:hAnsi="Times New Roman" w:cs="Times New Roman"/>
          <w:color w:val="000000"/>
          <w:spacing w:val="0"/>
          <w:w w:val="100"/>
          <w:position w:val="0"/>
          <w:shd w:val="clear" w:color="auto" w:fill="auto"/>
          <w:lang w:val="en-US" w:eastAsia="en-US" w:bidi="en-US"/>
        </w:rPr>
        <w:t xml:space="preserve">systems. </w:t>
      </w:r>
      <w:r>
        <w:rPr>
          <w:rFonts w:ascii="Times New Roman" w:eastAsia="Times New Roman" w:hAnsi="Times New Roman" w:cs="Times New Roman"/>
          <w:color w:val="000000"/>
          <w:spacing w:val="0"/>
          <w:w w:val="100"/>
          <w:position w:val="0"/>
          <w:shd w:val="clear" w:color="auto" w:fill="auto"/>
          <w:lang w:val="en-US" w:eastAsia="en-US" w:bidi="en-US"/>
        </w:rPr>
        <w:t>The p</w:t>
      </w:r>
      <w:r>
        <w:rPr>
          <w:rFonts w:ascii="Times New Roman" w:eastAsia="Times New Roman" w:hAnsi="Times New Roman" w:cs="Times New Roman"/>
          <w:color w:val="000000"/>
          <w:spacing w:val="0"/>
          <w:w w:val="100"/>
          <w:position w:val="0"/>
          <w:shd w:val="clear" w:color="auto" w:fill="auto"/>
          <w:lang w:val="en-US" w:eastAsia="en-US" w:bidi="en-US"/>
        </w:rPr>
        <w:t xml:space="preserve">raetexta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Octavia,</w:t>
      </w:r>
      <w:r>
        <w:rPr>
          <w:rFonts w:ascii="Times New Roman" w:eastAsia="Times New Roman" w:hAnsi="Times New Roman" w:cs="Times New Roman"/>
          <w:color w:val="000000"/>
          <w:spacing w:val="0"/>
          <w:w w:val="100"/>
          <w:position w:val="0"/>
          <w:shd w:val="clear" w:color="auto" w:fill="auto"/>
          <w:lang w:val="en-US" w:eastAsia="en-US" w:bidi="en-US"/>
        </w:rPr>
        <w:t xml:space="preserve"> also ascribed to </w:t>
      </w:r>
      <w:r>
        <w:rPr>
          <w:rFonts w:ascii="Times New Roman" w:eastAsia="Times New Roman" w:hAnsi="Times New Roman" w:cs="Times New Roman"/>
          <w:color w:val="000000"/>
          <w:spacing w:val="0"/>
          <w:w w:val="100"/>
          <w:position w:val="0"/>
          <w:shd w:val="clear" w:color="auto" w:fill="auto"/>
          <w:lang w:val="en-US" w:eastAsia="en-US" w:bidi="en-US"/>
        </w:rPr>
        <w:t xml:space="preserve">him, contains plain allusions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Nero’s </w:t>
      </w:r>
      <w:r>
        <w:rPr>
          <w:rFonts w:ascii="Times New Roman" w:eastAsia="Times New Roman" w:hAnsi="Times New Roman" w:cs="Times New Roman"/>
          <w:color w:val="000000"/>
          <w:spacing w:val="0"/>
          <w:w w:val="100"/>
          <w:position w:val="0"/>
          <w:shd w:val="clear" w:color="auto" w:fill="auto"/>
          <w:lang w:val="en-US" w:eastAsia="en-US" w:bidi="en-US"/>
        </w:rPr>
        <w:t xml:space="preserve">end, </w:t>
      </w:r>
      <w:r>
        <w:rPr>
          <w:rFonts w:ascii="Times New Roman" w:eastAsia="Times New Roman" w:hAnsi="Times New Roman" w:cs="Times New Roman"/>
          <w:color w:val="000000"/>
          <w:spacing w:val="0"/>
          <w:w w:val="100"/>
          <w:position w:val="0"/>
          <w:shd w:val="clear" w:color="auto" w:fill="auto"/>
          <w:lang w:val="en-US" w:eastAsia="en-US" w:bidi="en-US"/>
        </w:rPr>
        <w:t xml:space="preserve">and must therefore be the product of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later hand. The doubt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to his </w:t>
      </w:r>
      <w:r>
        <w:rPr>
          <w:rFonts w:ascii="Times New Roman" w:eastAsia="Times New Roman" w:hAnsi="Times New Roman" w:cs="Times New Roman"/>
          <w:color w:val="000000"/>
          <w:spacing w:val="0"/>
          <w:w w:val="100"/>
          <w:position w:val="0"/>
          <w:shd w:val="clear" w:color="auto" w:fill="auto"/>
          <w:lang w:val="en-US" w:eastAsia="en-US" w:bidi="en-US"/>
        </w:rPr>
        <w:t xml:space="preserve">authorship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en-US" w:eastAsia="en-US" w:bidi="en-US"/>
        </w:rPr>
        <w:t xml:space="preserve">tragedies </w:t>
      </w:r>
      <w:r>
        <w:rPr>
          <w:rFonts w:ascii="Times New Roman" w:eastAsia="Times New Roman" w:hAnsi="Times New Roman" w:cs="Times New Roman"/>
          <w:color w:val="000000"/>
          <w:spacing w:val="0"/>
          <w:w w:val="100"/>
          <w:position w:val="0"/>
          <w:shd w:val="clear" w:color="auto" w:fill="auto"/>
          <w:lang w:val="en-US" w:eastAsia="en-US" w:bidi="en-US"/>
        </w:rPr>
        <w:t xml:space="preserve">is due to a blunder of </w:t>
      </w:r>
      <w:r>
        <w:rPr>
          <w:rFonts w:ascii="Times New Roman" w:eastAsia="Times New Roman" w:hAnsi="Times New Roman" w:cs="Times New Roman"/>
          <w:color w:val="000000"/>
          <w:spacing w:val="0"/>
          <w:w w:val="100"/>
          <w:position w:val="0"/>
          <w:shd w:val="clear" w:color="auto" w:fill="auto"/>
          <w:lang w:val="de-DE" w:eastAsia="de-DE" w:bidi="de-DE"/>
        </w:rPr>
        <w:t xml:space="preserve">Sidonius Apollinaris </w:t>
      </w:r>
      <w:r>
        <w:rPr>
          <w:rFonts w:ascii="Times New Roman" w:eastAsia="Times New Roman" w:hAnsi="Times New Roman" w:cs="Times New Roman"/>
          <w:color w:val="000000"/>
          <w:spacing w:val="0"/>
          <w:w w:val="100"/>
          <w:position w:val="0"/>
          <w:shd w:val="clear" w:color="auto" w:fill="auto"/>
          <w:lang w:val="de-DE" w:eastAsia="de-DE" w:bidi="de-DE"/>
        </w:rPr>
        <w:t xml:space="preserve">(ix. </w:t>
      </w:r>
      <w:r>
        <w:rPr>
          <w:rFonts w:ascii="Times New Roman" w:eastAsia="Times New Roman" w:hAnsi="Times New Roman" w:cs="Times New Roman"/>
          <w:color w:val="000000"/>
          <w:spacing w:val="0"/>
          <w:w w:val="100"/>
          <w:position w:val="0"/>
          <w:shd w:val="clear" w:color="auto" w:fill="auto"/>
          <w:lang w:val="en-US" w:eastAsia="en-US" w:bidi="en-US"/>
        </w:rPr>
        <w:t xml:space="preserve">229-231); </w:t>
      </w:r>
      <w:r>
        <w:rPr>
          <w:rFonts w:ascii="Times New Roman" w:eastAsia="Times New Roman" w:hAnsi="Times New Roman" w:cs="Times New Roman"/>
          <w:color w:val="000000"/>
          <w:spacing w:val="0"/>
          <w:w w:val="100"/>
          <w:position w:val="0"/>
          <w:shd w:val="clear" w:color="auto" w:fill="auto"/>
          <w:lang w:val="en-US" w:eastAsia="en-US" w:bidi="en-US"/>
        </w:rPr>
        <w:t xml:space="preserve">against </w:t>
      </w:r>
      <w:r>
        <w:rPr>
          <w:rFonts w:ascii="Times New Roman" w:eastAsia="Times New Roman" w:hAnsi="Times New Roman" w:cs="Times New Roman"/>
          <w:color w:val="000000"/>
          <w:spacing w:val="0"/>
          <w:w w:val="100"/>
          <w:position w:val="0"/>
          <w:shd w:val="clear" w:color="auto" w:fill="auto"/>
          <w:lang w:val="en-US" w:eastAsia="en-US" w:bidi="en-US"/>
        </w:rPr>
        <w:t>it must be set Quin</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tilian’s testimony (“ </w:t>
      </w:r>
      <w:r>
        <w:rPr>
          <w:rFonts w:ascii="Times New Roman" w:eastAsia="Times New Roman" w:hAnsi="Times New Roman" w:cs="Times New Roman"/>
          <w:color w:val="000000"/>
          <w:spacing w:val="0"/>
          <w:w w:val="100"/>
          <w:position w:val="0"/>
          <w:shd w:val="clear" w:color="auto" w:fill="auto"/>
          <w:lang w:val="en-US" w:eastAsia="en-US" w:bidi="en-US"/>
        </w:rPr>
        <w:t xml:space="preserve">ut Medea apud </w:t>
      </w:r>
      <w:r>
        <w:rPr>
          <w:rFonts w:ascii="Times New Roman" w:eastAsia="Times New Roman" w:hAnsi="Times New Roman" w:cs="Times New Roman"/>
          <w:color w:val="000000"/>
          <w:spacing w:val="0"/>
          <w:w w:val="100"/>
          <w:position w:val="0"/>
          <w:shd w:val="clear" w:color="auto" w:fill="auto"/>
          <w:lang w:val="en-US" w:eastAsia="en-US" w:bidi="en-US"/>
        </w:rPr>
        <w:t xml:space="preserve">Senecam,” ix.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8).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judgment of Tacitus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(Ann.</w:t>
      </w:r>
      <w:r>
        <w:rPr>
          <w:rFonts w:ascii="Times New Roman" w:eastAsia="Times New Roman" w:hAnsi="Times New Roman" w:cs="Times New Roman"/>
          <w:color w:val="000000"/>
          <w:spacing w:val="0"/>
          <w:w w:val="100"/>
          <w:position w:val="0"/>
          <w:shd w:val="clear" w:color="auto" w:fill="auto"/>
          <w:lang w:val="en-US" w:eastAsia="en-US" w:bidi="en-US"/>
        </w:rPr>
        <w:t xml:space="preserve"> xiii. 4, 13, </w:t>
      </w:r>
      <w:r>
        <w:rPr>
          <w:rFonts w:ascii="Times New Roman" w:eastAsia="Times New Roman" w:hAnsi="Times New Roman" w:cs="Times New Roman"/>
          <w:color w:val="000000"/>
          <w:spacing w:val="0"/>
          <w:w w:val="100"/>
          <w:position w:val="0"/>
          <w:shd w:val="clear" w:color="auto" w:fill="auto"/>
          <w:lang w:val="en-US" w:eastAsia="en-US" w:bidi="en-US"/>
        </w:rPr>
        <w:t xml:space="preserve">42 sq., xiv. </w:t>
      </w:r>
      <w:r>
        <w:rPr>
          <w:rFonts w:ascii="Times New Roman" w:eastAsia="Times New Roman" w:hAnsi="Times New Roman" w:cs="Times New Roman"/>
          <w:color w:val="000000"/>
          <w:spacing w:val="0"/>
          <w:w w:val="100"/>
          <w:position w:val="0"/>
          <w:shd w:val="clear" w:color="auto" w:fill="auto"/>
          <w:lang w:val="en-US" w:eastAsia="en-US" w:bidi="en-US"/>
        </w:rPr>
        <w:t xml:space="preserve">52-56, xv. 60 sq.) </w:t>
      </w:r>
      <w:r>
        <w:rPr>
          <w:rFonts w:ascii="Times New Roman" w:eastAsia="Times New Roman" w:hAnsi="Times New Roman" w:cs="Times New Roman"/>
          <w:color w:val="000000"/>
          <w:spacing w:val="0"/>
          <w:w w:val="100"/>
          <w:position w:val="0"/>
          <w:shd w:val="clear" w:color="auto" w:fill="auto"/>
          <w:lang w:val="en-US" w:eastAsia="en-US" w:bidi="en-US"/>
        </w:rPr>
        <w:t xml:space="preserve">is more favourable </w:t>
      </w:r>
      <w:r>
        <w:rPr>
          <w:rFonts w:ascii="Times New Roman" w:eastAsia="Times New Roman" w:hAnsi="Times New Roman" w:cs="Times New Roman"/>
          <w:color w:val="000000"/>
          <w:spacing w:val="0"/>
          <w:w w:val="100"/>
          <w:position w:val="0"/>
          <w:shd w:val="clear" w:color="auto" w:fill="auto"/>
          <w:lang w:val="en-US" w:eastAsia="en-US" w:bidi="en-US"/>
        </w:rPr>
        <w:t xml:space="preserve">than </w:t>
      </w:r>
      <w:r>
        <w:rPr>
          <w:rFonts w:ascii="Times New Roman" w:eastAsia="Times New Roman" w:hAnsi="Times New Roman" w:cs="Times New Roman"/>
          <w:color w:val="000000"/>
          <w:spacing w:val="0"/>
          <w:w w:val="100"/>
          <w:position w:val="0"/>
          <w:shd w:val="clear" w:color="auto" w:fill="auto"/>
          <w:lang w:val="en-US" w:eastAsia="en-US" w:bidi="en-US"/>
        </w:rPr>
        <w:t xml:space="preserve">that of </w:t>
      </w:r>
      <w:r>
        <w:rPr>
          <w:rFonts w:ascii="Times New Roman" w:eastAsia="Times New Roman" w:hAnsi="Times New Roman" w:cs="Times New Roman"/>
          <w:color w:val="000000"/>
          <w:spacing w:val="0"/>
          <w:w w:val="100"/>
          <w:position w:val="0"/>
          <w:shd w:val="clear" w:color="auto" w:fill="auto"/>
          <w:lang w:val="en-US" w:eastAsia="en-US" w:bidi="en-US"/>
        </w:rPr>
        <w:t xml:space="preserve">Dio, who </w:t>
      </w:r>
      <w:r>
        <w:rPr>
          <w:rFonts w:ascii="Times New Roman" w:eastAsia="Times New Roman" w:hAnsi="Times New Roman" w:cs="Times New Roman"/>
          <w:color w:val="000000"/>
          <w:spacing w:val="0"/>
          <w:w w:val="100"/>
          <w:position w:val="0"/>
          <w:shd w:val="clear" w:color="auto" w:fill="auto"/>
          <w:lang w:val="en-US" w:eastAsia="en-US" w:bidi="en-US"/>
        </w:rPr>
        <w:t xml:space="preserve">may </w:t>
      </w:r>
      <w:r>
        <w:rPr>
          <w:rFonts w:ascii="Times New Roman" w:eastAsia="Times New Roman" w:hAnsi="Times New Roman" w:cs="Times New Roman"/>
          <w:color w:val="000000"/>
          <w:spacing w:val="0"/>
          <w:w w:val="100"/>
          <w:position w:val="0"/>
          <w:shd w:val="clear" w:color="auto" w:fill="auto"/>
          <w:lang w:val="en-US" w:eastAsia="en-US" w:bidi="en-US"/>
        </w:rPr>
        <w:t xml:space="preserve">possibly derive </w:t>
      </w:r>
      <w:r>
        <w:rPr>
          <w:rFonts w:ascii="Times New Roman" w:eastAsia="Times New Roman" w:hAnsi="Times New Roman" w:cs="Times New Roman"/>
          <w:color w:val="000000"/>
          <w:spacing w:val="0"/>
          <w:w w:val="100"/>
          <w:position w:val="0"/>
          <w:shd w:val="clear" w:color="auto" w:fill="auto"/>
          <w:lang w:val="en-US" w:eastAsia="en-US" w:bidi="en-US"/>
        </w:rPr>
        <w:t xml:space="preserve">his account from the slanders of some personal enemy </w:t>
      </w:r>
      <w:r>
        <w:rPr>
          <w:rFonts w:ascii="Times New Roman" w:eastAsia="Times New Roman" w:hAnsi="Times New Roman" w:cs="Times New Roman"/>
          <w:color w:val="000000"/>
          <w:spacing w:val="0"/>
          <w:w w:val="100"/>
          <w:position w:val="0"/>
          <w:shd w:val="clear" w:color="auto" w:fill="auto"/>
          <w:lang w:val="en-US" w:eastAsia="en-US" w:bidi="en-US"/>
        </w:rPr>
        <w:t xml:space="preserve">like Suilius. At </w:t>
      </w:r>
      <w:r>
        <w:rPr>
          <w:rFonts w:ascii="Times New Roman" w:eastAsia="Times New Roman" w:hAnsi="Times New Roman" w:cs="Times New Roman"/>
          <w:color w:val="000000"/>
          <w:spacing w:val="0"/>
          <w:w w:val="100"/>
          <w:position w:val="0"/>
          <w:shd w:val="clear" w:color="auto" w:fill="auto"/>
          <w:lang w:val="en-US" w:eastAsia="en-US" w:bidi="en-US"/>
        </w:rPr>
        <w:t xml:space="preserve">least eighteen prose works have </w:t>
      </w:r>
      <w:r>
        <w:rPr>
          <w:rFonts w:ascii="Times New Roman" w:eastAsia="Times New Roman" w:hAnsi="Times New Roman" w:cs="Times New Roman"/>
          <w:color w:val="000000"/>
          <w:spacing w:val="0"/>
          <w:w w:val="100"/>
          <w:position w:val="0"/>
          <w:shd w:val="clear" w:color="auto" w:fill="auto"/>
          <w:lang w:val="en-US" w:eastAsia="en-US" w:bidi="en-US"/>
        </w:rPr>
        <w:t xml:space="preserve">been </w:t>
      </w:r>
      <w:r>
        <w:rPr>
          <w:rFonts w:ascii="Times New Roman" w:eastAsia="Times New Roman" w:hAnsi="Times New Roman" w:cs="Times New Roman"/>
          <w:color w:val="000000"/>
          <w:spacing w:val="0"/>
          <w:w w:val="100"/>
          <w:position w:val="0"/>
          <w:shd w:val="clear" w:color="auto" w:fill="auto"/>
          <w:lang w:val="en-US" w:eastAsia="en-US" w:bidi="en-US"/>
        </w:rPr>
        <w:t xml:space="preserve">lost, </w:t>
      </w:r>
      <w:r>
        <w:rPr>
          <w:rFonts w:ascii="Times New Roman" w:eastAsia="Times New Roman" w:hAnsi="Times New Roman" w:cs="Times New Roman"/>
          <w:color w:val="000000"/>
          <w:spacing w:val="0"/>
          <w:w w:val="100"/>
          <w:position w:val="0"/>
          <w:shd w:val="clear" w:color="auto" w:fill="auto"/>
          <w:lang w:val="en-US" w:eastAsia="en-US" w:bidi="en-US"/>
        </w:rPr>
        <w:t xml:space="preserve">among them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superstitione,</w:t>
      </w:r>
      <w:r>
        <w:rPr>
          <w:rFonts w:ascii="Times New Roman" w:eastAsia="Times New Roman" w:hAnsi="Times New Roman" w:cs="Times New Roman"/>
          <w:color w:val="000000"/>
          <w:spacing w:val="0"/>
          <w:w w:val="100"/>
          <w:position w:val="0"/>
          <w:shd w:val="clear" w:color="auto" w:fill="auto"/>
          <w:lang w:val="en-US" w:eastAsia="en-US" w:bidi="en-US"/>
        </w:rPr>
        <w:t xml:space="preserve"> an attack upon the popular conceptions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en-US" w:eastAsia="en-US" w:bidi="en-US"/>
        </w:rPr>
        <w:t xml:space="preserve">gods,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matrimonio,</w:t>
      </w:r>
      <w:r>
        <w:rPr>
          <w:rFonts w:ascii="Times New Roman" w:eastAsia="Times New Roman" w:hAnsi="Times New Roman" w:cs="Times New Roman"/>
          <w:color w:val="000000"/>
          <w:spacing w:val="0"/>
          <w:w w:val="100"/>
          <w:position w:val="0"/>
          <w:shd w:val="clear" w:color="auto" w:fill="auto"/>
          <w:lang w:val="en-US" w:eastAsia="en-US" w:bidi="en-US"/>
        </w:rPr>
        <w:t xml:space="preserve"> which, to judge by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extant fragments, </w:t>
      </w:r>
      <w:r>
        <w:rPr>
          <w:rFonts w:ascii="Times New Roman" w:eastAsia="Times New Roman" w:hAnsi="Times New Roman" w:cs="Times New Roman"/>
          <w:color w:val="000000"/>
          <w:spacing w:val="0"/>
          <w:w w:val="100"/>
          <w:position w:val="0"/>
          <w:shd w:val="clear" w:color="auto" w:fill="auto"/>
          <w:lang w:val="en-US" w:eastAsia="en-US" w:bidi="en-US"/>
        </w:rPr>
        <w:t xml:space="preserve">must have </w:t>
      </w:r>
      <w:r>
        <w:rPr>
          <w:rFonts w:ascii="Times New Roman" w:eastAsia="Times New Roman" w:hAnsi="Times New Roman" w:cs="Times New Roman"/>
          <w:color w:val="000000"/>
          <w:spacing w:val="0"/>
          <w:w w:val="100"/>
          <w:position w:val="0"/>
          <w:shd w:val="clear" w:color="auto" w:fill="auto"/>
          <w:lang w:val="en-US" w:eastAsia="en-US" w:bidi="en-US"/>
        </w:rPr>
        <w:t xml:space="preserve">been interesting reading. Since </w:t>
      </w:r>
      <w:r>
        <w:rPr>
          <w:rFonts w:ascii="Times New Roman" w:eastAsia="Times New Roman" w:hAnsi="Times New Roman" w:cs="Times New Roman"/>
          <w:color w:val="000000"/>
          <w:spacing w:val="0"/>
          <w:w w:val="100"/>
          <w:position w:val="0"/>
          <w:shd w:val="clear" w:color="auto" w:fill="auto"/>
          <w:lang w:val="en-US" w:eastAsia="en-US" w:bidi="en-US"/>
        </w:rPr>
        <w:t xml:space="preserve">Gellius </w:t>
      </w:r>
      <w:r>
        <w:rPr>
          <w:rFonts w:ascii="Times New Roman" w:eastAsia="Times New Roman" w:hAnsi="Times New Roman" w:cs="Times New Roman"/>
          <w:color w:val="000000"/>
          <w:spacing w:val="0"/>
          <w:w w:val="100"/>
          <w:position w:val="0"/>
          <w:shd w:val="clear" w:color="auto" w:fill="auto"/>
          <w:lang w:val="en-US" w:eastAsia="en-US" w:bidi="en-US"/>
        </w:rPr>
        <w:t xml:space="preserve">(xii. 2. 3) cites a </w:t>
      </w:r>
      <w:r>
        <w:rPr>
          <w:rFonts w:ascii="Times New Roman" w:eastAsia="Times New Roman" w:hAnsi="Times New Roman" w:cs="Times New Roman"/>
          <w:color w:val="000000"/>
          <w:spacing w:val="0"/>
          <w:w w:val="100"/>
          <w:position w:val="0"/>
          <w:shd w:val="clear" w:color="auto" w:fill="auto"/>
          <w:lang w:val="en-US" w:eastAsia="en-US" w:bidi="en-US"/>
        </w:rPr>
        <w:t xml:space="preserve">book </w:t>
      </w:r>
      <w:r>
        <w:rPr>
          <w:rFonts w:ascii="Times New Roman" w:eastAsia="Times New Roman" w:hAnsi="Times New Roman" w:cs="Times New Roman"/>
          <w:color w:val="000000"/>
          <w:spacing w:val="0"/>
          <w:w w:val="100"/>
          <w:position w:val="0"/>
          <w:shd w:val="clear" w:color="auto" w:fill="auto"/>
          <w:lang w:val="en-US" w:eastAsia="en-US" w:bidi="en-US"/>
        </w:rPr>
        <w:t xml:space="preserve">xxii. of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Letters to Lucilius,</w:t>
      </w:r>
      <w:r>
        <w:rPr>
          <w:rFonts w:ascii="Times New Roman" w:eastAsia="Times New Roman" w:hAnsi="Times New Roman" w:cs="Times New Roman"/>
          <w:color w:val="000000"/>
          <w:spacing w:val="0"/>
          <w:w w:val="100"/>
          <w:position w:val="0"/>
          <w:shd w:val="clear" w:color="auto" w:fill="auto"/>
          <w:lang w:val="en-US" w:eastAsia="en-US" w:bidi="en-US"/>
        </w:rPr>
        <w:t xml:space="preserve"> some of these have </w:t>
      </w:r>
      <w:r>
        <w:rPr>
          <w:rFonts w:ascii="Times New Roman" w:eastAsia="Times New Roman" w:hAnsi="Times New Roman" w:cs="Times New Roman"/>
          <w:color w:val="000000"/>
          <w:spacing w:val="0"/>
          <w:w w:val="100"/>
          <w:position w:val="0"/>
          <w:shd w:val="clear" w:color="auto" w:fill="auto"/>
          <w:lang w:val="en-US" w:eastAsia="en-US" w:bidi="en-US"/>
        </w:rPr>
        <w:t>been lost.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best text of the prose </w:t>
      </w:r>
      <w:r>
        <w:rPr>
          <w:rFonts w:ascii="Times New Roman" w:eastAsia="Times New Roman" w:hAnsi="Times New Roman" w:cs="Times New Roman"/>
          <w:color w:val="000000"/>
          <w:spacing w:val="0"/>
          <w:w w:val="100"/>
          <w:position w:val="0"/>
          <w:shd w:val="clear" w:color="auto" w:fill="auto"/>
          <w:lang w:val="en-US" w:eastAsia="en-US" w:bidi="en-US"/>
        </w:rPr>
        <w:t xml:space="preserve">works, </w:t>
      </w:r>
      <w:r>
        <w:rPr>
          <w:rFonts w:ascii="Times New Roman" w:eastAsia="Times New Roman" w:hAnsi="Times New Roman" w:cs="Times New Roman"/>
          <w:color w:val="000000"/>
          <w:spacing w:val="0"/>
          <w:w w:val="100"/>
          <w:position w:val="0"/>
          <w:shd w:val="clear" w:color="auto" w:fill="auto"/>
          <w:lang w:val="en-US" w:eastAsia="en-US" w:bidi="en-US"/>
        </w:rPr>
        <w:t xml:space="preserve">that of Haase </w:t>
      </w:r>
      <w:r>
        <w:rPr>
          <w:rFonts w:ascii="Times New Roman" w:eastAsia="Times New Roman" w:hAnsi="Times New Roman" w:cs="Times New Roman"/>
          <w:color w:val="000000"/>
          <w:spacing w:val="0"/>
          <w:w w:val="100"/>
          <w:position w:val="0"/>
          <w:shd w:val="clear" w:color="auto" w:fill="auto"/>
          <w:lang w:val="en-US" w:eastAsia="en-US" w:bidi="en-US"/>
        </w:rPr>
        <w:t xml:space="preserve">in Teubner's </w:t>
      </w:r>
      <w:r>
        <w:rPr>
          <w:rFonts w:ascii="Times New Roman" w:eastAsia="Times New Roman" w:hAnsi="Times New Roman" w:cs="Times New Roman"/>
          <w:color w:val="000000"/>
          <w:spacing w:val="0"/>
          <w:w w:val="100"/>
          <w:position w:val="0"/>
          <w:shd w:val="clear" w:color="auto" w:fill="auto"/>
          <w:lang w:val="en-US" w:eastAsia="en-US" w:bidi="en-US"/>
        </w:rPr>
        <w:t xml:space="preserve">series (1852), was re-edited in 1872-1874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1898. </w:t>
      </w:r>
      <w:r>
        <w:rPr>
          <w:rFonts w:ascii="Times New Roman" w:eastAsia="Times New Roman" w:hAnsi="Times New Roman" w:cs="Times New Roman"/>
          <w:color w:val="000000"/>
          <w:spacing w:val="0"/>
          <w:w w:val="100"/>
          <w:position w:val="0"/>
          <w:shd w:val="clear" w:color="auto" w:fill="auto"/>
          <w:lang w:val="en-US" w:eastAsia="en-US" w:bidi="en-US"/>
        </w:rPr>
        <w:t xml:space="preserve">More recently </w:t>
      </w:r>
      <w:r>
        <w:rPr>
          <w:rFonts w:ascii="Times New Roman" w:eastAsia="Times New Roman" w:hAnsi="Times New Roman" w:cs="Times New Roman"/>
          <w:color w:val="000000"/>
          <w:spacing w:val="0"/>
          <w:w w:val="100"/>
          <w:position w:val="0"/>
          <w:shd w:val="clear" w:color="auto" w:fill="auto"/>
          <w:lang w:val="en-US" w:eastAsia="en-US" w:bidi="en-US"/>
        </w:rPr>
        <w:t xml:space="preserve">Gertz has revised the text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Libri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beneficiis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et de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dementia</w:t>
      </w:r>
      <w:r>
        <w:rPr>
          <w:rFonts w:ascii="Times New Roman" w:eastAsia="Times New Roman" w:hAnsi="Times New Roman" w:cs="Times New Roman"/>
          <w:color w:val="000000"/>
          <w:spacing w:val="0"/>
          <w:w w:val="100"/>
          <w:position w:val="0"/>
          <w:shd w:val="clear" w:color="auto" w:fill="auto"/>
          <w:lang w:val="en-US" w:eastAsia="en-US" w:bidi="en-US"/>
        </w:rPr>
        <w:t xml:space="preserve"> (Berlin, </w:t>
      </w:r>
      <w:r>
        <w:rPr>
          <w:rFonts w:ascii="Times New Roman" w:eastAsia="Times New Roman" w:hAnsi="Times New Roman" w:cs="Times New Roman"/>
          <w:color w:val="000000"/>
          <w:spacing w:val="0"/>
          <w:w w:val="100"/>
          <w:position w:val="0"/>
          <w:shd w:val="clear" w:color="auto" w:fill="auto"/>
          <w:lang w:val="en-US" w:eastAsia="en-US" w:bidi="en-US"/>
        </w:rPr>
        <w:t xml:space="preserve">1876), H. A. Koch that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Dialogorum libri xii.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(completed </w:t>
      </w:r>
      <w:r>
        <w:rPr>
          <w:rFonts w:ascii="Times New Roman" w:eastAsia="Times New Roman" w:hAnsi="Times New Roman" w:cs="Times New Roman"/>
          <w:color w:val="000000"/>
          <w:spacing w:val="0"/>
          <w:w w:val="100"/>
          <w:position w:val="0"/>
          <w:shd w:val="clear" w:color="auto" w:fill="auto"/>
          <w:lang w:val="en-US" w:eastAsia="en-US" w:bidi="en-US"/>
        </w:rPr>
        <w:t xml:space="preserve">by Vahlen, Jena, 1879), and Gertz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Dialogi</w:t>
      </w:r>
      <w:r>
        <w:rPr>
          <w:rFonts w:ascii="Times New Roman" w:eastAsia="Times New Roman" w:hAnsi="Times New Roman" w:cs="Times New Roman"/>
          <w:color w:val="000000"/>
          <w:spacing w:val="0"/>
          <w:w w:val="100"/>
          <w:position w:val="0"/>
          <w:shd w:val="clear" w:color="auto" w:fill="auto"/>
          <w:lang w:val="en-US" w:eastAsia="en-US" w:bidi="en-US"/>
        </w:rPr>
        <w:t xml:space="preserve"> (Copenhagen, 1886). </w:t>
      </w:r>
      <w:r>
        <w:rPr>
          <w:rFonts w:ascii="Times New Roman" w:eastAsia="Times New Roman" w:hAnsi="Times New Roman" w:cs="Times New Roman"/>
          <w:color w:val="000000"/>
          <w:spacing w:val="0"/>
          <w:w w:val="100"/>
          <w:position w:val="0"/>
          <w:shd w:val="clear" w:color="auto" w:fill="auto"/>
          <w:lang w:val="en-US" w:eastAsia="en-US" w:bidi="en-US"/>
        </w:rPr>
        <w:t xml:space="preserve">There is no complete exegetical commentary, </w:t>
      </w:r>
      <w:r>
        <w:rPr>
          <w:rFonts w:ascii="Times New Roman" w:eastAsia="Times New Roman" w:hAnsi="Times New Roman" w:cs="Times New Roman"/>
          <w:color w:val="000000"/>
          <w:spacing w:val="0"/>
          <w:w w:val="100"/>
          <w:position w:val="0"/>
          <w:shd w:val="clear" w:color="auto" w:fill="auto"/>
          <w:lang w:val="en-US" w:eastAsia="en-US" w:bidi="en-US"/>
        </w:rPr>
        <w:t xml:space="preserve">cither English or </w:t>
      </w:r>
      <w:r>
        <w:rPr>
          <w:rFonts w:ascii="Times New Roman" w:eastAsia="Times New Roman" w:hAnsi="Times New Roman" w:cs="Times New Roman"/>
          <w:color w:val="000000"/>
          <w:spacing w:val="0"/>
          <w:w w:val="100"/>
          <w:position w:val="0"/>
          <w:shd w:val="clear" w:color="auto" w:fill="auto"/>
          <w:lang w:val="en-US" w:eastAsia="en-US" w:bidi="en-US"/>
        </w:rPr>
        <w:t xml:space="preserve">German. Little has been done systematically since </w:t>
      </w:r>
      <w:r>
        <w:rPr>
          <w:rFonts w:ascii="Times New Roman" w:eastAsia="Times New Roman" w:hAnsi="Times New Roman" w:cs="Times New Roman"/>
          <w:color w:val="000000"/>
          <w:spacing w:val="0"/>
          <w:w w:val="100"/>
          <w:position w:val="0"/>
          <w:shd w:val="clear" w:color="auto" w:fill="auto"/>
          <w:lang w:val="en-US" w:eastAsia="en-US" w:bidi="en-US"/>
        </w:rPr>
        <w:t xml:space="preserve">the notes of </w:t>
      </w:r>
      <w:r>
        <w:rPr>
          <w:rFonts w:ascii="Times New Roman" w:eastAsia="Times New Roman" w:hAnsi="Times New Roman" w:cs="Times New Roman"/>
          <w:color w:val="000000"/>
          <w:spacing w:val="0"/>
          <w:w w:val="100"/>
          <w:position w:val="0"/>
          <w:shd w:val="clear" w:color="auto" w:fill="auto"/>
          <w:lang w:val="en-US" w:eastAsia="en-US" w:bidi="en-US"/>
        </w:rPr>
        <w:t xml:space="preserve">Lipsius and Gronovius. There is, however, </w:t>
      </w:r>
      <w:r>
        <w:rPr>
          <w:rFonts w:ascii="Times New Roman" w:eastAsia="Times New Roman" w:hAnsi="Times New Roman" w:cs="Times New Roman"/>
          <w:color w:val="000000"/>
          <w:spacing w:val="0"/>
          <w:w w:val="100"/>
          <w:position w:val="0"/>
          <w:shd w:val="clear" w:color="auto" w:fill="auto"/>
          <w:lang w:val="en-US" w:eastAsia="en-US" w:bidi="en-US"/>
        </w:rPr>
        <w:t xml:space="preserve">Ruhkopf’s ed. with </w:t>
      </w:r>
      <w:r>
        <w:rPr>
          <w:rFonts w:ascii="Times New Roman" w:eastAsia="Times New Roman" w:hAnsi="Times New Roman" w:cs="Times New Roman"/>
          <w:color w:val="000000"/>
          <w:spacing w:val="0"/>
          <w:w w:val="100"/>
          <w:position w:val="0"/>
          <w:shd w:val="clear" w:color="auto" w:fill="auto"/>
          <w:lang w:val="en-US" w:eastAsia="en-US" w:bidi="en-US"/>
        </w:rPr>
        <w:t xml:space="preserve">Latin notes, 5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(Leipzig, 1797-1811), </w:t>
      </w:r>
      <w:r>
        <w:rPr>
          <w:rFonts w:ascii="Times New Roman" w:eastAsia="Times New Roman" w:hAnsi="Times New Roman" w:cs="Times New Roman"/>
          <w:color w:val="000000"/>
          <w:spacing w:val="0"/>
          <w:w w:val="100"/>
          <w:position w:val="0"/>
          <w:shd w:val="clear" w:color="auto" w:fill="auto"/>
          <w:lang w:val="en-US" w:eastAsia="en-US" w:bidi="en-US"/>
        </w:rPr>
        <w:t xml:space="preserve">and Lemaire’s variorum </w:t>
      </w:r>
      <w:r>
        <w:rPr>
          <w:rFonts w:ascii="Times New Roman" w:eastAsia="Times New Roman" w:hAnsi="Times New Roman" w:cs="Times New Roman"/>
          <w:color w:val="000000"/>
          <w:spacing w:val="0"/>
          <w:w w:val="100"/>
          <w:position w:val="0"/>
          <w:shd w:val="clear" w:color="auto" w:fill="auto"/>
          <w:lang w:val="en-US" w:eastAsia="en-US" w:bidi="en-US"/>
        </w:rPr>
        <w:t xml:space="preserve">ed. (Paris, 1827-1832, 8 vols., prose and verse). </w:t>
      </w:r>
      <w:r>
        <w:rPr>
          <w:rFonts w:ascii="Times New Roman" w:eastAsia="Times New Roman" w:hAnsi="Times New Roman" w:cs="Times New Roman"/>
          <w:color w:val="000000"/>
          <w:spacing w:val="0"/>
          <w:w w:val="100"/>
          <w:position w:val="0"/>
          <w:shd w:val="clear" w:color="auto" w:fill="auto"/>
          <w:lang w:val="en-US" w:eastAsia="en-US" w:bidi="en-US"/>
        </w:rPr>
        <w:t xml:space="preserve">The text of the </w:t>
      </w:r>
      <w:r>
        <w:rPr>
          <w:rFonts w:ascii="Times New Roman" w:eastAsia="Times New Roman" w:hAnsi="Times New Roman" w:cs="Times New Roman"/>
          <w:color w:val="000000"/>
          <w:spacing w:val="0"/>
          <w:w w:val="100"/>
          <w:position w:val="0"/>
          <w:shd w:val="clear" w:color="auto" w:fill="auto"/>
          <w:lang w:val="en-US" w:eastAsia="en-US" w:bidi="en-US"/>
        </w:rPr>
        <w:t xml:space="preserve">tragedies was edited by Peipcr and </w:t>
      </w:r>
      <w:r>
        <w:rPr>
          <w:rFonts w:ascii="Times New Roman" w:eastAsia="Times New Roman" w:hAnsi="Times New Roman" w:cs="Times New Roman"/>
          <w:color w:val="000000"/>
          <w:spacing w:val="0"/>
          <w:w w:val="100"/>
          <w:position w:val="0"/>
          <w:shd w:val="clear" w:color="auto" w:fill="auto"/>
          <w:lang w:val="en-US" w:eastAsia="en-US" w:bidi="en-US"/>
        </w:rPr>
        <w:t xml:space="preserve">Richter, 1867, 2nd ed. 1902, </w:t>
      </w:r>
      <w:r>
        <w:rPr>
          <w:rFonts w:ascii="Times New Roman" w:eastAsia="Times New Roman" w:hAnsi="Times New Roman" w:cs="Times New Roman"/>
          <w:color w:val="000000"/>
          <w:spacing w:val="0"/>
          <w:w w:val="100"/>
          <w:position w:val="0"/>
          <w:shd w:val="clear" w:color="auto" w:fill="auto"/>
          <w:lang w:val="en-US" w:eastAsia="en-US" w:bidi="en-US"/>
        </w:rPr>
        <w:t xml:space="preserve">and by F. Leo (2 vols., Berlin, 1878-1879); verse </w:t>
      </w:r>
      <w:r>
        <w:rPr>
          <w:rFonts w:ascii="Times New Roman" w:eastAsia="Times New Roman" w:hAnsi="Times New Roman" w:cs="Times New Roman"/>
          <w:color w:val="000000"/>
          <w:spacing w:val="0"/>
          <w:w w:val="100"/>
          <w:position w:val="0"/>
          <w:shd w:val="clear" w:color="auto" w:fill="auto"/>
          <w:lang w:val="en-US" w:eastAsia="en-US" w:bidi="en-US"/>
        </w:rPr>
        <w:t xml:space="preserve">trans. by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en-US" w:eastAsia="en-US" w:bidi="en-US"/>
        </w:rPr>
        <w:t xml:space="preserve">Miller (Chicago and London, 1908). </w:t>
      </w:r>
      <w:r>
        <w:rPr>
          <w:rFonts w:ascii="Times New Roman" w:eastAsia="Times New Roman" w:hAnsi="Times New Roman" w:cs="Times New Roman"/>
          <w:color w:val="000000"/>
          <w:spacing w:val="0"/>
          <w:w w:val="100"/>
          <w:position w:val="0"/>
          <w:shd w:val="clear" w:color="auto" w:fill="auto"/>
          <w:lang w:val="fr-FR" w:eastAsia="fr-FR" w:bidi="fr-FR"/>
        </w:rPr>
        <w:t>Ni</w:t>
      </w:r>
      <w:r>
        <w:rPr>
          <w:rFonts w:ascii="Times New Roman" w:eastAsia="Times New Roman" w:hAnsi="Times New Roman" w:cs="Times New Roman"/>
          <w:color w:val="000000"/>
          <w:spacing w:val="0"/>
          <w:w w:val="100"/>
          <w:position w:val="0"/>
          <w:shd w:val="clear" w:color="auto" w:fill="auto"/>
          <w:lang w:val="en-US" w:eastAsia="en-US" w:bidi="en-US"/>
        </w:rPr>
        <w:t xml:space="preserve">sard,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Études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de mœurs et de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critique sur les poètes de la décadence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(4th e</w:t>
      </w:r>
      <w:r>
        <w:rPr>
          <w:rFonts w:ascii="Times New Roman" w:eastAsia="Times New Roman" w:hAnsi="Times New Roman" w:cs="Times New Roman"/>
          <w:color w:val="000000"/>
          <w:spacing w:val="0"/>
          <w:w w:val="100"/>
          <w:position w:val="0"/>
          <w:shd w:val="clear" w:color="auto" w:fill="auto"/>
          <w:lang w:val="de-DE" w:eastAsia="de-DE" w:bidi="de-DE"/>
        </w:rPr>
        <w:t xml:space="preserve">d., </w:t>
      </w:r>
      <w:r>
        <w:rPr>
          <w:rFonts w:ascii="Times New Roman" w:eastAsia="Times New Roman" w:hAnsi="Times New Roman" w:cs="Times New Roman"/>
          <w:color w:val="000000"/>
          <w:spacing w:val="0"/>
          <w:w w:val="100"/>
          <w:position w:val="0"/>
          <w:shd w:val="clear" w:color="auto" w:fill="auto"/>
          <w:lang w:val="fr-FR" w:eastAsia="fr-FR" w:bidi="fr-FR"/>
        </w:rPr>
        <w:t xml:space="preserve">Paris, </w:t>
      </w:r>
      <w:r>
        <w:rPr>
          <w:rFonts w:ascii="Times New Roman" w:eastAsia="Times New Roman" w:hAnsi="Times New Roman" w:cs="Times New Roman"/>
          <w:color w:val="000000"/>
          <w:spacing w:val="0"/>
          <w:w w:val="100"/>
          <w:position w:val="0"/>
          <w:shd w:val="clear" w:color="auto" w:fill="auto"/>
          <w:lang w:val="en-US" w:eastAsia="en-US" w:bidi="en-US"/>
        </w:rPr>
        <w:t>1878), has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criticized them in detail. Of some 300 monographs enumerated in </w:t>
      </w:r>
      <w:r>
        <w:rPr>
          <w:rFonts w:ascii="Times New Roman" w:eastAsia="Times New Roman" w:hAnsi="Times New Roman" w:cs="Times New Roman"/>
          <w:color w:val="000000"/>
          <w:spacing w:val="0"/>
          <w:w w:val="100"/>
          <w:position w:val="0"/>
          <w:shd w:val="clear" w:color="auto" w:fill="auto"/>
          <w:lang w:val="de-DE" w:eastAsia="de-DE" w:bidi="de-DE"/>
        </w:rPr>
        <w:t xml:space="preserve">Engelmann </w:t>
      </w:r>
      <w:r>
        <w:rPr>
          <w:rFonts w:ascii="Times New Roman" w:eastAsia="Times New Roman" w:hAnsi="Times New Roman" w:cs="Times New Roman"/>
          <w:color w:val="000000"/>
          <w:spacing w:val="0"/>
          <w:w w:val="100"/>
          <w:position w:val="0"/>
          <w:shd w:val="clear" w:color="auto" w:fill="auto"/>
          <w:lang w:val="en-US" w:eastAsia="en-US" w:bidi="en-US"/>
        </w:rPr>
        <w:t xml:space="preserve">may be mentioned, in addition to the above, G. Boissier,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Les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Tragedies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de Sénèque ont-ils été représentés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(Paris, 1861); A. </w:t>
      </w:r>
      <w:r>
        <w:rPr>
          <w:rFonts w:ascii="Times New Roman" w:eastAsia="Times New Roman" w:hAnsi="Times New Roman" w:cs="Times New Roman"/>
          <w:color w:val="000000"/>
          <w:spacing w:val="0"/>
          <w:w w:val="100"/>
          <w:position w:val="0"/>
          <w:shd w:val="clear" w:color="auto" w:fill="auto"/>
          <w:lang w:val="de-DE" w:eastAsia="de-DE" w:bidi="de-DE"/>
        </w:rPr>
        <w:t xml:space="preserve">Dörgens,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Senec. disciplinae moralis cum Antoniniana comparatio </w:t>
      </w:r>
      <w:r>
        <w:rPr>
          <w:rFonts w:ascii="Times New Roman" w:eastAsia="Times New Roman" w:hAnsi="Times New Roman" w:cs="Times New Roman"/>
          <w:color w:val="000000"/>
          <w:spacing w:val="0"/>
          <w:w w:val="100"/>
          <w:position w:val="0"/>
          <w:shd w:val="clear" w:color="auto" w:fill="auto"/>
          <w:lang w:val="en-US" w:eastAsia="en-US" w:bidi="en-US"/>
        </w:rPr>
        <w:t xml:space="preserve">(Leipzig, 1857); E. F. Gelpke,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Seηec. vita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moribus</w:t>
      </w:r>
      <w:r>
        <w:rPr>
          <w:rFonts w:ascii="Times New Roman" w:eastAsia="Times New Roman" w:hAnsi="Times New Roman" w:cs="Times New Roman"/>
          <w:color w:val="000000"/>
          <w:spacing w:val="0"/>
          <w:w w:val="100"/>
          <w:position w:val="0"/>
          <w:shd w:val="clear" w:color="auto" w:fill="auto"/>
          <w:lang w:val="en-US" w:eastAsia="en-US" w:bidi="en-US"/>
        </w:rPr>
        <w:t xml:space="preserve"> (Bern, 1848); </w:t>
      </w:r>
      <w:r>
        <w:rPr>
          <w:rFonts w:ascii="Times New Roman" w:eastAsia="Times New Roman" w:hAnsi="Times New Roman" w:cs="Times New Roman"/>
          <w:color w:val="000000"/>
          <w:spacing w:val="0"/>
          <w:w w:val="100"/>
          <w:position w:val="0"/>
          <w:shd w:val="clear" w:color="auto" w:fill="auto"/>
          <w:lang w:val="de-DE" w:eastAsia="de-DE" w:bidi="de-DE"/>
        </w:rPr>
        <w:t xml:space="preserve">Holzherr,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Der Philosoph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Seneca</w:t>
      </w:r>
      <w:r>
        <w:rPr>
          <w:rFonts w:ascii="Times New Roman" w:eastAsia="Times New Roman" w:hAnsi="Times New Roman" w:cs="Times New Roman"/>
          <w:color w:val="000000"/>
          <w:spacing w:val="0"/>
          <w:w w:val="100"/>
          <w:position w:val="0"/>
          <w:shd w:val="clear" w:color="auto" w:fill="auto"/>
          <w:lang w:val="en-US" w:eastAsia="en-US" w:bidi="en-US"/>
        </w:rPr>
        <w:t xml:space="preserve"> (Rastadt, 1858). See also Sir S. Dill,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Roman Society from Nero to Marcus Aurelius</w:t>
      </w:r>
      <w:r>
        <w:rPr>
          <w:rFonts w:ascii="Times New Roman" w:eastAsia="Times New Roman" w:hAnsi="Times New Roman" w:cs="Times New Roman"/>
          <w:color w:val="000000"/>
          <w:spacing w:val="0"/>
          <w:w w:val="100"/>
          <w:position w:val="0"/>
          <w:shd w:val="clear" w:color="auto" w:fill="auto"/>
          <w:lang w:val="en-US" w:eastAsia="en-US" w:bidi="en-US"/>
        </w:rPr>
        <w:t xml:space="preserve"> (1904).</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(R.D.H.;X.)</w:t>
      </w:r>
    </w:p>
    <w:p>
      <w:pPr>
        <w:pStyle w:val="Style1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SENECA, a tribe of North American Indians of Iroquoian stock. They call themselves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Tshoti-nondawaga,</w:t>
      </w:r>
      <w:r>
        <w:rPr>
          <w:rFonts w:ascii="Times New Roman" w:eastAsia="Times New Roman" w:hAnsi="Times New Roman" w:cs="Times New Roman"/>
          <w:color w:val="000000"/>
          <w:spacing w:val="0"/>
          <w:w w:val="100"/>
          <w:position w:val="0"/>
          <w:shd w:val="clear" w:color="auto" w:fill="auto"/>
          <w:lang w:val="en-US" w:eastAsia="en-US" w:bidi="en-US"/>
        </w:rPr>
        <w:t xml:space="preserve"> “ people of the mountain.” The French called them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Tsonnonlouan.</w:t>
      </w:r>
      <w:r>
        <w:rPr>
          <w:rFonts w:ascii="Times New Roman" w:eastAsia="Times New Roman" w:hAnsi="Times New Roman" w:cs="Times New Roman"/>
          <w:color w:val="000000"/>
          <w:spacing w:val="0"/>
          <w:w w:val="100"/>
          <w:position w:val="0"/>
          <w:shd w:val="clear" w:color="auto" w:fill="auto"/>
          <w:lang w:val="en-US" w:eastAsia="en-US" w:bidi="en-US"/>
        </w:rPr>
        <w:t xml:space="preserve"> Their former range was in western New York state between Seneca lake and the Genesee river. They were one of the Six Nations League of the Iroquois, and eventually became the most im</w:t>
        <w:softHyphen/>
        <w:t>portant tribe of the league. They were foremost in all the Iroquoian wars, and were the official guardians of the western frontier of the league. On the defeat of the Erie and Neuter tribes they occupied the county west of Lake Erie and south along the Alleghany to Pennsylvania. They fought on the English side in the War of Independence. About 2700 are now on reservations in New York State, while a few are in Oklahoma and on Grand River reservation, Ontario.</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Seneca Cosmology see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21st Ann. Report Bureau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Amer.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Ethnol. </w:t>
      </w:r>
      <w:r>
        <w:rPr>
          <w:rFonts w:ascii="Times New Roman" w:eastAsia="Times New Roman" w:hAnsi="Times New Roman" w:cs="Times New Roman"/>
          <w:color w:val="000000"/>
          <w:spacing w:val="0"/>
          <w:w w:val="100"/>
          <w:position w:val="0"/>
          <w:shd w:val="clear" w:color="auto" w:fill="auto"/>
          <w:lang w:val="en-US" w:eastAsia="en-US" w:bidi="en-US"/>
        </w:rPr>
        <w:t>(1899-1900).</w:t>
      </w:r>
    </w:p>
    <w:p>
      <w:pPr>
        <w:pStyle w:val="Style1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SENECA FALLS, a village of Seneca county, New York, U.S.A., in the township of Seneca Falls, on Seneca Outlet, or river (which connects Lake Seneca and Lake Cayuga), about 42 m. W.S.W. of Syracuse. Pop. (1900) 6519, of whom 801 were foreign-born; (1905) 6733; (1910) 6588; of the township, including the village (1910) 7407 The village is served by the New York Central &amp; Hudson River, the Lehigh Valley and electric suburban railways, and by the Seneca &amp; Cayuga Canal. In the village are the Mynderse (public) Library and the Johnson Home for Old Ladies (1868). Cayuga Lake Park, a pleasure resort, is 3 m. distant and is reached by electric railway. The village is the shipping point for a farming and dairying region. The river here falls 50 ft. and provides a good water power; among the manufactures are pumps and hydraulic machinery, woollen goods, wagons and farm implements. Seneca Falls was settled about 1790, and was first incorporated as a village in 1831, its charter as revised in 1902 being similar in some respects to that of a city. In Seneca Falls on the 19th and 20th of July 1848 was held a Woman’s Rights Convention, the first in the United States.@@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1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SENEFELDER, ALOIS </w:t>
      </w:r>
      <w:r>
        <w:rPr>
          <w:rFonts w:ascii="Times New Roman" w:eastAsia="Times New Roman" w:hAnsi="Times New Roman" w:cs="Times New Roman"/>
          <w:color w:val="000000"/>
          <w:spacing w:val="0"/>
          <w:w w:val="100"/>
          <w:position w:val="0"/>
          <w:shd w:val="clear" w:color="auto" w:fill="auto"/>
          <w:lang w:val="en-US" w:eastAsia="en-US" w:bidi="en-US"/>
        </w:rPr>
        <w:t>(1771-1834), German inventor of lithography, was born at Munich on the 6th of November 1771, his father Peter being an actor at the Theatre Royal. Owing to the death of his father he was unable to continue his legal studies at the university of Ingolstadt, and tried to support himself as a performer and author, but without success. In order to accelerate the publication of one of his works, he frequently spent whole days in the printing office, and found the process of printing so simple that he conceived the idea of purchasing a small printing press, thus enabling himself to print and publish his own com</w:t>
        <w:softHyphen/>
        <w:t>positions. Unable to pay for the engraving of his compositions, he attempted to engrave them himself. He made numerous experiments with little success; tools and skill were alike wanting. Copper-plates were expensive, and the want of a sufficient number entailed the tedious process of grinding and polishing afresh those he had used. About this period his atten- tion was accidentally directed to a fine piece of Kellheim stone which he had purchased for the purpose of grinding his ink. His first idea was to use it merely for practice in his exercises in writing backwards, the ease with which the stone could be ground and poîished afresh being the chief inducement. While he was engaged one day in polishing a stone slab on which to continue his exercises, his mother entered the room and desired him to write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convention, under the leadership of Lucretia Mott and Elizabeth Cady Stanton, adopted a “ Declaration of Sentiments ” modelled after the American Declaration of Independence, and resolved “ that it is the duty of the women of this country to secure to themselves their sacred right to the elective franchise,” and “ that the same amount of virtue, delicacy and refinement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be</w:t>
        <w:softHyphen/>
        <w:t>haviour that is required of woman in the social state should also be required of man, and the same transgressions should be visited with equal severity on both man and woman.”</w:t>
      </w:r>
    </w:p>
    <w:sectPr>
      <w:footnotePr>
        <w:pos w:val="pageBottom"/>
        <w:numFmt w:val="decimal"/>
        <w:numRestart w:val="continuous"/>
      </w:footnotePr>
      <w:pgSz w:w="12240" w:h="15840"/>
      <w:pgMar w:top="804" w:left="965" w:right="837" w:bottom="6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character" w:customStyle="1" w:styleId="CharStyle13">
    <w:name w:val="Body text_"/>
    <w:basedOn w:val="DefaultParagraphFont"/>
    <w:link w:val="Style12"/>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styleId="Style12">
    <w:name w:val="Body text"/>
    <w:basedOn w:val="Normal"/>
    <w:link w:val="CharStyle13"/>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