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still </w:t>
      </w:r>
      <w:r>
        <w:rPr>
          <w:rFonts w:ascii="Times New Roman" w:eastAsia="Times New Roman" w:hAnsi="Times New Roman" w:cs="Times New Roman"/>
          <w:color w:val="000000"/>
          <w:spacing w:val="0"/>
          <w:w w:val="100"/>
          <w:position w:val="0"/>
          <w:shd w:val="clear" w:color="auto" w:fill="auto"/>
          <w:lang w:val="en-US" w:eastAsia="en-US" w:bidi="en-US"/>
        </w:rPr>
        <w:t>maintained by the mission. There is a jute mill, and paper is manufactured.</w:t>
      </w:r>
    </w:p>
    <w:p>
      <w:pPr>
        <w:pStyle w:val="Style3"/>
        <w:keepNext w:val="0"/>
        <w:keepLines w:val="0"/>
        <w:widowControl w:val="0"/>
        <w:shd w:val="clear" w:color="auto" w:fill="auto"/>
        <w:tabs>
          <w:tab w:pos="2598"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SERAO, MATILDA </w:t>
      </w:r>
      <w:r>
        <w:rPr>
          <w:rFonts w:ascii="Times New Roman" w:eastAsia="Times New Roman" w:hAnsi="Times New Roman" w:cs="Times New Roman"/>
          <w:color w:val="000000"/>
          <w:spacing w:val="0"/>
          <w:w w:val="100"/>
          <w:position w:val="0"/>
          <w:shd w:val="clear" w:color="auto" w:fill="auto"/>
          <w:lang w:val="en-US" w:eastAsia="en-US" w:bidi="en-US"/>
        </w:rPr>
        <w:t>(1856-</w:t>
        <w:tab/>
        <w:t>), Italian novelist, was born 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Patras in Greece. Her father was an Italian, a political emigrant, and her mother a Greek. She began by becoming a schoolmistress at Naples, and afterwards she described those years of laborious poverty in the preface to a book of short stories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Leggende Napolitane</w:t>
      </w:r>
      <w:r>
        <w:rPr>
          <w:rFonts w:ascii="Times New Roman" w:eastAsia="Times New Roman" w:hAnsi="Times New Roman" w:cs="Times New Roman"/>
          <w:color w:val="000000"/>
          <w:spacing w:val="0"/>
          <w:w w:val="100"/>
          <w:position w:val="0"/>
          <w:shd w:val="clear" w:color="auto" w:fill="auto"/>
          <w:lang w:val="en-US" w:eastAsia="en-US" w:bidi="en-US"/>
        </w:rPr>
        <w:t xml:space="preserve"> (1881). But attention was first attracted to her name by her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Novelle,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a paper of Rocco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Zerbi’s, and later by her first novel,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Fantasia</w:t>
      </w:r>
      <w:r>
        <w:rPr>
          <w:rFonts w:ascii="Times New Roman" w:eastAsia="Times New Roman" w:hAnsi="Times New Roman" w:cs="Times New Roman"/>
          <w:color w:val="000000"/>
          <w:spacing w:val="0"/>
          <w:w w:val="100"/>
          <w:position w:val="0"/>
          <w:shd w:val="clear" w:color="auto" w:fill="auto"/>
          <w:lang w:val="en-US" w:eastAsia="en-US" w:bidi="en-US"/>
        </w:rPr>
        <w:t xml:space="preserve"> (1883), which definitely established her as a writer full of feeling and analytical subtlety. She spent the years between 1880 and 1886 in Rome, where she published her next five volumes of short stories and novels, all dealing with ordinary Italian, and especially Roman, life, and distinguished by great accuracy of observation and depth of insight: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Cuore Inferno</w:t>
      </w:r>
      <w:r>
        <w:rPr>
          <w:rFonts w:ascii="Times New Roman" w:eastAsia="Times New Roman" w:hAnsi="Times New Roman" w:cs="Times New Roman"/>
          <w:color w:val="000000"/>
          <w:spacing w:val="0"/>
          <w:w w:val="100"/>
          <w:position w:val="0"/>
          <w:shd w:val="clear" w:color="auto" w:fill="auto"/>
          <w:lang w:val="en-US" w:eastAsia="en-US" w:bidi="en-US"/>
        </w:rPr>
        <w:t xml:space="preserve"> (1881),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Fior di Passione</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 Conquista di Roma</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 Virtù di Checchina</w:t>
      </w:r>
      <w:r>
        <w:rPr>
          <w:rFonts w:ascii="Times New Roman" w:eastAsia="Times New Roman" w:hAnsi="Times New Roman" w:cs="Times New Roman"/>
          <w:color w:val="000000"/>
          <w:spacing w:val="0"/>
          <w:w w:val="100"/>
          <w:position w:val="0"/>
          <w:shd w:val="clear" w:color="auto" w:fill="auto"/>
          <w:lang w:val="en-US" w:eastAsia="en-US" w:bidi="en-US"/>
        </w:rPr>
        <w:t xml:space="preserve"> (1884),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Piccole Anime</w:t>
      </w:r>
      <w:r>
        <w:rPr>
          <w:rFonts w:ascii="Times New Roman" w:eastAsia="Times New Roman" w:hAnsi="Times New Roman" w:cs="Times New Roman"/>
          <w:color w:val="000000"/>
          <w:spacing w:val="0"/>
          <w:w w:val="100"/>
          <w:position w:val="0"/>
          <w:shd w:val="clear" w:color="auto" w:fill="auto"/>
          <w:lang w:val="en-US" w:eastAsia="en-US" w:bidi="en-US"/>
        </w:rPr>
        <w:t xml:space="preserve"> (1883). With her husband, Epoardo Scarfoglio, she founded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Il Corriere di Roma,</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Italian attempt to model a daily journal on the lines of the Parisian press. The paper was short-lived, and when it was given up Matilda Serao established herself in Naples, where she edited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Il Corriere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Napoli,</w:t>
      </w:r>
      <w:r>
        <w:rPr>
          <w:rFonts w:ascii="Times New Roman" w:eastAsia="Times New Roman" w:hAnsi="Times New Roman" w:cs="Times New Roman"/>
          <w:color w:val="000000"/>
          <w:spacing w:val="0"/>
          <w:w w:val="100"/>
          <w:position w:val="0"/>
          <w:shd w:val="clear" w:color="auto" w:fill="auto"/>
          <w:lang w:val="en-US" w:eastAsia="en-US" w:bidi="en-US"/>
        </w:rPr>
        <w:t xml:space="preserve"> and in 1891 founded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Il Mattino,</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the most important and most widely read daily paper of southern Italy. But the stress of a journalistic career in no way limited her literary activity; between 1890 and 1902 she produced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Paese di Cuccagna, Ventre di Napoli, Addio Amore, All' Erta Sentinella, Castigo, La Ballerina, Suor Giovanna della Croce, Paese di Gesu, </w:t>
      </w:r>
      <w:r>
        <w:rPr>
          <w:rFonts w:ascii="Times New Roman" w:eastAsia="Times New Roman" w:hAnsi="Times New Roman" w:cs="Times New Roman"/>
          <w:color w:val="000000"/>
          <w:spacing w:val="0"/>
          <w:w w:val="100"/>
          <w:position w:val="0"/>
          <w:shd w:val="clear" w:color="auto" w:fill="auto"/>
          <w:lang w:val="en-US" w:eastAsia="en-US" w:bidi="en-US"/>
        </w:rPr>
        <w:t>novels in which the character of the people is rendered with minute sensitive power and sympathetic breadth of spirit. Most of these have been translated into English.</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Matilda Serao’s place as a contemporary Italian novelist is one apart: she is a naturalist, but her naturalism should be understood in a much wider sense than that which is generally given to it. She is a naturalist because her books reflect life with the utmost simplicity of means, sometimes with an utter neglect of means, and at the same time she is an idealist through her high sense of the beauty and nobility which humanity can attain, and to which her writings continually aspire. All her work is truly and pro- foundly Italian; it is the literature of a great mass of individuals, rather than of one peculiarly accentuated individual; the joy and pain of a whole class rather than the perplexities of a unique case or type pulsates through her pages. Matilda Serao’s defects are always defects of style; her want of sufficient choice of detail often clogs the movement of her narrative and mars the artistic effect of her always animated pages. Like Fogazzaro’s, her speech is too often the popular speech of her particular province, in description as well as in dialogue.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SERAPHIM, the imaginary supernatural guardians of the threshold of Yahweh’s sanctuary, only mentioned in Isa. vi. (Isaiah’s vision). Their form is not described, but they have not only six wings (verse 2), but hands (verse 6) and feet (verse 2). They are of colossal height, for they overtop Him who is seated on the high throne; and with a voice that shakes the thresholds they proclaim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Trisagion,</w:t>
      </w:r>
      <w:r>
        <w:rPr>
          <w:rFonts w:ascii="Times New Roman" w:eastAsia="Times New Roman" w:hAnsi="Times New Roman" w:cs="Times New Roman"/>
          <w:color w:val="000000"/>
          <w:spacing w:val="0"/>
          <w:w w:val="100"/>
          <w:position w:val="0"/>
          <w:shd w:val="clear" w:color="auto" w:fill="auto"/>
          <w:lang w:val="en-US" w:eastAsia="en-US" w:bidi="en-US"/>
        </w:rPr>
        <w:t xml:space="preserve"> like the four “ living creatures ”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smallCaps/>
          <w:color w:val="000000"/>
          <w:spacing w:val="0"/>
          <w:w w:val="100"/>
          <w:position w:val="0"/>
          <w:shd w:val="clear" w:color="auto" w:fill="auto"/>
          <w:lang w:val="en-US" w:eastAsia="en-US" w:bidi="en-US"/>
        </w:rPr>
        <w:t>Cherubim)</w:t>
      </w:r>
      <w:r>
        <w:rPr>
          <w:rFonts w:ascii="Times New Roman" w:eastAsia="Times New Roman" w:hAnsi="Times New Roman" w:cs="Times New Roman"/>
          <w:color w:val="000000"/>
          <w:spacing w:val="0"/>
          <w:w w:val="100"/>
          <w:position w:val="0"/>
          <w:shd w:val="clear" w:color="auto" w:fill="auto"/>
          <w:lang w:val="en-US" w:eastAsia="en-US" w:bidi="en-US"/>
        </w:rPr>
        <w:t xml:space="preserve"> in Rev. iv. 6-8. Probably in the lost Hebrew text of Enoch xx. 7 “ seraphim ” stood where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and the Greek give “ the serpents ” or “ the dragons Paradise, serpents and cherubim are here made subject to Gabriel. In late Jewish writings, more recognized than “ Enoch,” they are classed among the celestials with the cherubim and the ’ophannim (“ wheels,” cf. Ezek. i.). Now as to their origin and significance. They may originally have had a serpent form, for it is difficult not to regard “ seraphim ” as originally (as in Num. xxi. 8) = “ serpents cf. also the flying serpents of Israelitish folklore in Isa. xiv. 29. If so, Isaiah has transformed and ennobled these supernatural guardians of sacred things and persons. The “ Nehushtan ” broken in pieces under Hezekiab (2 Kings xviii. 4) may have given an impulse to the prophet’s imagination. Was it not a greater thing to ennoble them than to destroy their artistic representation ? There is no precise Babylonian or Egyptian equivalent, though attempts have been made to produce points of contact with Babylonian or Egyptian beliefs.</w:t>
      </w:r>
    </w:p>
    <w:p>
      <w:pPr>
        <w:pStyle w:val="Style12"/>
        <w:keepNext/>
        <w:keepLines/>
        <w:widowControl w:val="0"/>
        <w:shd w:val="clear" w:color="auto" w:fill="auto"/>
        <w:tabs>
          <w:tab w:pos="4082"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further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Enc. Bib. "</w:t>
      </w:r>
      <w:r>
        <w:rPr>
          <w:rFonts w:ascii="Times New Roman" w:eastAsia="Times New Roman" w:hAnsi="Times New Roman" w:cs="Times New Roman"/>
          <w:color w:val="000000"/>
          <w:spacing w:val="0"/>
          <w:w w:val="100"/>
          <w:position w:val="0"/>
          <w:shd w:val="clear" w:color="auto" w:fill="auto"/>
          <w:lang w:val="en-US" w:eastAsia="en-US" w:bidi="en-US"/>
        </w:rPr>
        <w:t xml:space="preserve">Seraphim,” and cf. Duhm’s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Jesaia,</w:t>
      </w:r>
      <w:r>
        <w:rPr>
          <w:rFonts w:ascii="Times New Roman" w:eastAsia="Times New Roman" w:hAnsi="Times New Roman" w:cs="Times New Roman"/>
          <w:color w:val="000000"/>
          <w:spacing w:val="0"/>
          <w:w w:val="100"/>
          <w:position w:val="0"/>
          <w:shd w:val="clear" w:color="auto" w:fill="auto"/>
          <w:lang w:val="en-US" w:eastAsia="en-US" w:bidi="en-US"/>
        </w:rPr>
        <w:t xml:space="preserve"> ed. 2 (1902), on </w:t>
      </w:r>
      <w:r>
        <w:rPr>
          <w:rFonts w:ascii="Times New Roman" w:eastAsia="Times New Roman" w:hAnsi="Times New Roman" w:cs="Times New Roman"/>
          <w:color w:val="000000"/>
          <w:spacing w:val="0"/>
          <w:w w:val="100"/>
          <w:position w:val="0"/>
          <w:shd w:val="clear" w:color="auto" w:fill="auto"/>
          <w:lang w:val="fr-FR" w:eastAsia="fr-FR" w:bidi="fr-FR"/>
        </w:rPr>
        <w:t xml:space="preserve">Isa. </w:t>
      </w:r>
      <w:r>
        <w:rPr>
          <w:rFonts w:ascii="Times New Roman" w:eastAsia="Times New Roman" w:hAnsi="Times New Roman" w:cs="Times New Roman"/>
          <w:color w:val="000000"/>
          <w:spacing w:val="0"/>
          <w:w w:val="100"/>
          <w:position w:val="0"/>
          <w:shd w:val="clear" w:color="auto" w:fill="auto"/>
          <w:lang w:val="en-US" w:eastAsia="en-US" w:bidi="en-US"/>
        </w:rPr>
        <w:t>vi.</w:t>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K.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Sarapion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flοr. c.</w:t>
      </w:r>
      <w:r>
        <w:rPr>
          <w:rFonts w:ascii="Times New Roman" w:eastAsia="Times New Roman" w:hAnsi="Times New Roman" w:cs="Times New Roman"/>
          <w:color w:val="000000"/>
          <w:spacing w:val="0"/>
          <w:w w:val="100"/>
          <w:position w:val="0"/>
          <w:shd w:val="clear" w:color="auto" w:fill="auto"/>
          <w:lang w:val="en-US" w:eastAsia="en-US" w:bidi="en-US"/>
        </w:rPr>
        <w:t xml:space="preserve"> 350), bishop of Thmuis in the Nile Delta and a prominent supporter of Athanasius in the struggle against Arianism (sometimes called, for his learning, Scholasticus), is best known in connexion with a prayer-book or sacramentary intended for the use of bishops. This document, contained in a collection of Egyptian documents in an 11th-century MS. at the Laura on Mount Athos, was published by A. Dmitrijewskij in 1894, but attracted little attention until independently discovered and published by G. Wobbermin in 1899. It is a celebrant’s book, containing thirty prayers belong- ing to the mass (19-30, 1-6), baptism (7-11, 15, 16), ordination (12-14), benediction of oil, bread and water (17), and burial (18), omitting the fixed structural formulae of the rites, the parts of the other ministers, and almost all rubrication, except what is implied in the titles of the prayers.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is prefixed to the anaphora of the mass (r) and to the group 15-18: but whether this indicates authorship is doubtful; for whereas the whole collection is bound together by certain marks of vocabulary, style and thought, 15-18 have characteristics of their own not shared by the anaphora, while no part of the collection shows special affinities with the current works of </w:t>
      </w:r>
      <w:r>
        <w:rPr>
          <w:rFonts w:ascii="Times New Roman" w:eastAsia="Times New Roman" w:hAnsi="Times New Roman" w:cs="Times New Roman"/>
          <w:color w:val="000000"/>
          <w:spacing w:val="0"/>
          <w:w w:val="100"/>
          <w:position w:val="0"/>
          <w:shd w:val="clear" w:color="auto" w:fill="auto"/>
          <w:lang w:val="de-DE" w:eastAsia="de-DE" w:bidi="de-DE"/>
        </w:rPr>
        <w:t>Serapion.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But his name is at least a symbol of probable date and proven- ance: the theology, which is orthodox so far as it goes, but “ conservative,” and perhaps glancing at Arianism, shows no sign that the Macedonian question has arisen; the doxologies, of a type abandoned by the orthodox, and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370 treated by Didymus of Alexandria as heretical; the apparent presupposition that the population is mainly pagan (1, 20); the exclusive appro</w:t>
        <w:softHyphen/>
        <w:t xml:space="preserve">priation of the mass to Sunday (19; cp. Ath.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 c. Ar.</w:t>
      </w:r>
      <w:r>
        <w:rPr>
          <w:rFonts w:ascii="Times New Roman" w:eastAsia="Times New Roman" w:hAnsi="Times New Roman" w:cs="Times New Roman"/>
          <w:color w:val="000000"/>
          <w:spacing w:val="0"/>
          <w:w w:val="100"/>
          <w:position w:val="0"/>
          <w:shd w:val="clear" w:color="auto" w:fill="auto"/>
          <w:lang w:val="en-US" w:eastAsia="en-US" w:bidi="en-US"/>
        </w:rPr>
        <w:t xml:space="preserve"> 11), whereas the liturgical observance of Saturday prevailed in Egypt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380; the terms in which monasticism is referred to— together point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350: the occurrence of official interpreters (25) points to a bilingual Church,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Syria or Egypt; and certain theological phrases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(αytvvqτοs, ⅛ηδημlα,</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μόνη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καθολική έκκλησια)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characteristic of the old Egyptian creed, and the liturgical characteristics, indicate Egypt; while the petition for rains (23), without reference to the Nile-rising, points to the Delta as distinguished from Upper Egypt. The book is important, therefore, as the earliest liturgical collection on so large a scale, and as belonging to Egypt, where evidence for 4th -century ritual is scanty as compared with Syria.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rites form a link between those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Egyptian Church Order</w:t>
      </w:r>
      <w:r>
        <w:rPr>
          <w:rFonts w:ascii="Times New Roman" w:eastAsia="Times New Roman" w:hAnsi="Times New Roman" w:cs="Times New Roman"/>
          <w:color w:val="000000"/>
          <w:spacing w:val="0"/>
          <w:w w:val="100"/>
          <w:position w:val="0"/>
          <w:shd w:val="clear" w:color="auto" w:fill="auto"/>
          <w:lang w:val="en-US" w:eastAsia="en-US" w:bidi="en-US"/>
        </w:rPr>
        <w:t xml:space="preserve"> (a 3rd- or early 4th-century development of the Hip- polytean Canons, which are perhaps Egyptian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260) and later Egyptian rites—marking the stage of development reached in Egypt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350, while exhibiting characteristics of their own. I. The Mass has the Egyptian notes—a prayer before the lections, elsewhere unknown in the East; an exceptionally weighty body of intercessions after the catechumens’ dismissal, followed by a penitential act, probably identical with the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έ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ξoμολδyησιs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Can. Hippol. 2,</w:t>
      </w:r>
      <w:r>
        <w:rPr>
          <w:rFonts w:ascii="Times New Roman" w:eastAsia="Times New Roman" w:hAnsi="Times New Roman" w:cs="Times New Roman"/>
          <w:color w:val="000000"/>
          <w:spacing w:val="0"/>
          <w:w w:val="100"/>
          <w:position w:val="0"/>
          <w:shd w:val="clear" w:color="auto" w:fill="auto"/>
          <w:lang w:val="en-US" w:eastAsia="en-US" w:bidi="en-US"/>
        </w:rPr>
        <w:t xml:space="preserve"> which disappeared in later rites; a setting of the </w:t>
      </w:r>
      <w:r>
        <w:rPr>
          <w:rFonts w:ascii="Times New Roman" w:eastAsia="Times New Roman" w:hAnsi="Times New Roman" w:cs="Times New Roman"/>
          <w:color w:val="000000"/>
          <w:spacing w:val="0"/>
          <w:w w:val="100"/>
          <w:position w:val="0"/>
          <w:shd w:val="clear" w:color="auto" w:fill="auto"/>
          <w:lang w:val="de-DE" w:eastAsia="de-DE" w:bidi="de-DE"/>
        </w:rPr>
        <w:t xml:space="preserve">Sanctus </w:t>
      </w:r>
      <w:r>
        <w:rPr>
          <w:rFonts w:ascii="Times New Roman" w:eastAsia="Times New Roman" w:hAnsi="Times New Roman" w:cs="Times New Roman"/>
          <w:color w:val="000000"/>
          <w:spacing w:val="0"/>
          <w:w w:val="100"/>
          <w:position w:val="0"/>
          <w:shd w:val="clear" w:color="auto" w:fill="auto"/>
          <w:lang w:val="en-US" w:eastAsia="en-US" w:bidi="en-US"/>
        </w:rPr>
        <w:t xml:space="preserve">found in several Egyptian ana- phoras; the close connexion of the commemorations of the offerers and of the dead; and the form of the conclusion of the anaphora. The structure of the communion—with a prayer before and prayers of thanksgiving and blessing after—shows that Egypt had already developed the common type, otherwise first evidenced in Syria,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375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 Const,</w:t>
      </w:r>
      <w:r>
        <w:rPr>
          <w:rFonts w:ascii="Times New Roman" w:eastAsia="Times New Roman" w:hAnsi="Times New Roman" w:cs="Times New Roman"/>
          <w:color w:val="000000"/>
          <w:spacing w:val="0"/>
          <w:w w:val="100"/>
          <w:position w:val="0"/>
          <w:shd w:val="clear" w:color="auto" w:fill="auto"/>
          <w:lang w:val="en-US" w:eastAsia="en-US" w:bidi="en-US"/>
        </w:rPr>
        <w:t xml:space="preserve"> viii. 13). Among the special characteristics of </w:t>
      </w:r>
      <w:r>
        <w:rPr>
          <w:rFonts w:ascii="Times New Roman" w:eastAsia="Times New Roman" w:hAnsi="Times New Roman" w:cs="Times New Roman"/>
          <w:color w:val="000000"/>
          <w:spacing w:val="0"/>
          <w:w w:val="100"/>
          <w:position w:val="0"/>
          <w:shd w:val="clear" w:color="auto" w:fill="auto"/>
          <w:lang w:val="de-DE" w:eastAsia="de-DE" w:bidi="de-DE"/>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are the simplicity of the </w:t>
      </w:r>
      <w:r>
        <w:rPr>
          <w:rFonts w:ascii="Times New Roman" w:eastAsia="Times New Roman" w:hAnsi="Times New Roman" w:cs="Times New Roman"/>
          <w:color w:val="000000"/>
          <w:spacing w:val="0"/>
          <w:w w:val="100"/>
          <w:position w:val="0"/>
          <w:shd w:val="clear" w:color="auto" w:fill="auto"/>
          <w:lang w:val="de-DE" w:eastAsia="de-DE" w:bidi="de-DE"/>
        </w:rPr>
        <w:t xml:space="preserve">Sanctus, </w:t>
      </w:r>
      <w:r>
        <w:rPr>
          <w:rFonts w:ascii="Times New Roman" w:eastAsia="Times New Roman" w:hAnsi="Times New Roman" w:cs="Times New Roman"/>
          <w:color w:val="000000"/>
          <w:spacing w:val="0"/>
          <w:w w:val="100"/>
          <w:position w:val="0"/>
          <w:shd w:val="clear" w:color="auto" w:fill="auto"/>
          <w:lang w:val="en-US" w:eastAsia="en-US" w:bidi="en-US"/>
        </w:rPr>
        <w:t>and of the Institution, which lacks the dramatic addi</w:t>
        <w:softHyphen/>
        <w:t xml:space="preserve">tions already found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 Const.·,</w:t>
      </w:r>
      <w:r>
        <w:rPr>
          <w:rFonts w:ascii="Times New Roman" w:eastAsia="Times New Roman" w:hAnsi="Times New Roman" w:cs="Times New Roman"/>
          <w:color w:val="000000"/>
          <w:spacing w:val="0"/>
          <w:w w:val="100"/>
          <w:position w:val="0"/>
          <w:shd w:val="clear" w:color="auto" w:fill="auto"/>
          <w:lang w:val="en-US" w:eastAsia="en-US" w:bidi="en-US"/>
        </w:rPr>
        <w:t xml:space="preserve"> the interpolation of a passage containing a quotation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Didachē</w:t>
      </w:r>
      <w:r>
        <w:rPr>
          <w:rFonts w:ascii="Times New Roman" w:eastAsia="Times New Roman" w:hAnsi="Times New Roman" w:cs="Times New Roman"/>
          <w:color w:val="000000"/>
          <w:spacing w:val="0"/>
          <w:w w:val="100"/>
          <w:position w:val="0"/>
          <w:shd w:val="clear" w:color="auto" w:fill="auto"/>
          <w:lang w:val="en-US" w:eastAsia="en-US" w:bidi="en-US"/>
        </w:rPr>
        <w:t xml:space="preserve"> 9 between the institutions of the bread and of the chalice; the form of the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άνάμνησιν,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invocation of the Word, not of the Holy Ghost, to effect consecration. That the Lord’s Prayer before communion is not referred to may be only because it is a fixed formula belonging to the structure of the </w:t>
      </w:r>
      <w:r>
        <w:rPr>
          <w:rFonts w:ascii="Times New Roman" w:eastAsia="Times New Roman" w:hAnsi="Times New Roman" w:cs="Times New Roman"/>
          <w:color w:val="000000"/>
          <w:spacing w:val="0"/>
          <w:w w:val="100"/>
          <w:position w:val="0"/>
          <w:shd w:val="clear" w:color="auto" w:fill="auto"/>
          <w:lang w:val="fr-FR" w:eastAsia="fr-FR" w:bidi="fr-FR"/>
        </w:rPr>
        <w:t xml:space="preserve">rite. </w:t>
      </w:r>
      <w:r>
        <w:rPr>
          <w:rFonts w:ascii="Times New Roman" w:eastAsia="Times New Roman" w:hAnsi="Times New Roman" w:cs="Times New Roman"/>
          <w:color w:val="000000"/>
          <w:spacing w:val="0"/>
          <w:w w:val="100"/>
          <w:position w:val="0"/>
          <w:shd w:val="clear" w:color="auto" w:fill="auto"/>
          <w:lang w:val="en-US" w:eastAsia="en-US" w:bidi="en-US"/>
        </w:rPr>
        <w:t>II. The Order of Baptism has a form for the consecration of the water, and a preliminary prayer for the candidates, perhaps alluding to their exorcism; a prayer</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a vigorous and acute refutation of the Manichaeans, and some letters. A book on the titles of the Psalms has not survived.</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3">
    <w:name w:val="Heading #2_"/>
    <w:basedOn w:val="DefaultParagraphFont"/>
    <w:link w:val="Style12"/>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2">
    <w:name w:val="Heading #2"/>
    <w:basedOn w:val="Normal"/>
    <w:link w:val="CharStyle13"/>
    <w:pPr>
      <w:widowControl w:val="0"/>
      <w:shd w:val="clear" w:color="auto" w:fill="FFFFFF"/>
      <w:spacing w:line="209" w:lineRule="auto"/>
      <w:ind w:firstLine="220"/>
      <w:jc w:val="both"/>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