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steadfastness following the renunciation and the confession of faith; the form of anointing with oil; appropriate prayers preceding and following the act of baptism; and the player of confirmation with imposition of the hand, chrism and crossing. All this corresponds to and fills up the outline of the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Church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and allusions in 4th-century writers, and is in line with later Egyptian rites. III. Forms of Ordination are provided only for deacons, presbyters and bishops, the orders of divine institution (12). They are concise, but of the normal type. That for deacons (12) commemorates St Stephen, invokes the Holy Ghost, and prays for the gifts qualifying for the diaconate. That for presbyters (13) recalls the Mosaic LXX, invokes the Holy Ghost, and asks for the gifts qualifying for administration, teaching, and the ministry of reconciliation. That for bishops (14) appeals to the mission of our Lord, the election of the apostles, and the apostolic succession, and asks for the “ Divine Spirit ” conferred on prophets and patriarchs, that the subject may “ feed the flock ” “ unblamably and without offence continue in ’’his office. The minor orders, interpreters, readers and subdeacons (25) are evidently, as elsewhere in the middle of the 4th century, appointed without sacramental ordination.</w:t>
      </w:r>
    </w:p>
    <w:p>
      <w:pPr>
        <w:pStyle w:val="Style3"/>
        <w:keepNext w:val="0"/>
        <w:keepLines w:val="0"/>
        <w:widowControl w:val="0"/>
        <w:shd w:val="clear" w:color="auto" w:fill="auto"/>
        <w:tabs>
          <w:tab w:pos="42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IV.</w:t>
        <w:tab/>
        <w:t xml:space="preserve">The use of exorcised or blessed oil, water and bread is fully illustrated by the lives of the fathers of the desert (cp. the Gnostic use, Clem. 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Excerpta</w:t>
      </w:r>
      <w:r>
        <w:rPr>
          <w:rFonts w:ascii="Times New Roman" w:eastAsia="Times New Roman" w:hAnsi="Times New Roman" w:cs="Times New Roman"/>
          <w:color w:val="000000"/>
          <w:spacing w:val="0"/>
          <w:w w:val="100"/>
          <w:position w:val="0"/>
          <w:shd w:val="clear" w:color="auto" w:fill="auto"/>
          <w:lang w:val="en-US" w:eastAsia="en-US" w:bidi="en-US"/>
        </w:rPr>
        <w:t xml:space="preserve"> 82). </w:t>
      </w:r>
      <w:r>
        <w:rPr>
          <w:rFonts w:ascii="Times New Roman" w:eastAsia="Times New Roman" w:hAnsi="Times New Roman" w:cs="Times New Roman"/>
          <w:color w:val="000000"/>
          <w:spacing w:val="0"/>
          <w:w w:val="100"/>
          <w:position w:val="0"/>
          <w:shd w:val="clear" w:color="auto" w:fill="auto"/>
          <w:lang w:val="de-DE" w:eastAsia="de-DE" w:bidi="de-DE"/>
        </w:rPr>
        <w:t xml:space="preserve">Serapion </w:t>
      </w:r>
      <w:r>
        <w:rPr>
          <w:rFonts w:ascii="Times New Roman" w:eastAsia="Times New Roman" w:hAnsi="Times New Roman" w:cs="Times New Roman"/>
          <w:color w:val="000000"/>
          <w:spacing w:val="0"/>
          <w:w w:val="100"/>
          <w:position w:val="0"/>
          <w:shd w:val="clear" w:color="auto" w:fill="auto"/>
          <w:lang w:val="en-US" w:eastAsia="en-US" w:bidi="en-US"/>
        </w:rPr>
        <w:t xml:space="preserve">has a form of benediction of oil and water (5) offered in the mass (like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Can. Hippol.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 Ord.</w:t>
      </w:r>
      <w:r>
        <w:rPr>
          <w:rFonts w:ascii="Times New Roman" w:eastAsia="Times New Roman" w:hAnsi="Times New Roman" w:cs="Times New Roman"/>
          <w:color w:val="000000"/>
          <w:spacing w:val="0"/>
          <w:w w:val="100"/>
          <w:position w:val="0"/>
          <w:shd w:val="clear" w:color="auto" w:fill="auto"/>
          <w:lang w:val="en-US" w:eastAsia="en-US" w:bidi="en-US"/>
        </w:rPr>
        <w:t xml:space="preserve"> for oil), probably for the use of individual offerers. A longer form for all three matters (17) perhaps has in view the general needs of the Church in the visitation of the sick. The occurrence in both prayers of “ the Name ” and the commemoration of the Passion, Resurrection, &amp;c., corresponds with early allusions, in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and elsewhere, to the usual form of exorcism.</w:t>
      </w:r>
    </w:p>
    <w:p>
      <w:pPr>
        <w:pStyle w:val="Style3"/>
        <w:keepNext w:val="0"/>
        <w:keepLines w:val="0"/>
        <w:widowControl w:val="0"/>
        <w:shd w:val="clear" w:color="auto" w:fill="auto"/>
        <w:tabs>
          <w:tab w:pos="40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w:t>
        <w:tab/>
        <w:t xml:space="preserve">For burial of the dead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Serapion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gives a prayer for the departed and the survivors (18). But the funeral procession is alluded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(kκκομιξομIvGo},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the mass (1) the particular commemoration of departed persons is provided for. Hence we have the elements of the 4th-century funeral, as we know it in Egypt and elsewhere: a preliminary office (of readings and psalms) to which the prayer belongs, the procession (with psalmody) to the cemetery, the burial and the mass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pro domitione.</w:t>
      </w:r>
    </w:p>
    <w:p>
      <w:pPr>
        <w:pStyle w:val="Style8"/>
        <w:keepNext w:val="0"/>
        <w:keepLines w:val="0"/>
        <w:widowControl w:val="0"/>
        <w:shd w:val="clear" w:color="auto" w:fill="auto"/>
        <w:tabs>
          <w:tab w:pos="4049" w:val="left"/>
        </w:tabs>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—Dmitrijewskij in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Trudy</w:t>
      </w:r>
      <w:r>
        <w:rPr>
          <w:rFonts w:ascii="Times New Roman" w:eastAsia="Times New Roman" w:hAnsi="Times New Roman" w:cs="Times New Roman"/>
          <w:color w:val="000000"/>
          <w:spacing w:val="0"/>
          <w:w w:val="100"/>
          <w:position w:val="0"/>
          <w:shd w:val="clear" w:color="auto" w:fill="auto"/>
          <w:lang w:val="en-US" w:eastAsia="en-US" w:bidi="en-US"/>
        </w:rPr>
        <w:t xml:space="preserve"> (Journal of the Eccl. Acad. of Kiev, 1894), No. 2; separately (Kiev, 1894); reviewed by A. Favlov, Xpopucà </w:t>
      </w:r>
      <w:r>
        <w:rPr>
          <w:rFonts w:ascii="Times New Roman" w:eastAsia="Times New Roman" w:hAnsi="Times New Roman" w:cs="Times New Roman"/>
          <w:color w:val="000000"/>
          <w:spacing w:val="0"/>
          <w:w w:val="100"/>
          <w:position w:val="0"/>
          <w:shd w:val="clear" w:color="auto" w:fill="auto"/>
          <w:lang w:val="fr-FR" w:eastAsia="fr-FR" w:bidi="fr-FR"/>
        </w:rPr>
        <w:t xml:space="preserve">BvfaFTiFà, </w:t>
      </w:r>
      <w:r>
        <w:rPr>
          <w:rFonts w:ascii="Times New Roman" w:eastAsia="Times New Roman" w:hAnsi="Times New Roman" w:cs="Times New Roman"/>
          <w:color w:val="000000"/>
          <w:spacing w:val="0"/>
          <w:w w:val="100"/>
          <w:position w:val="0"/>
          <w:shd w:val="clear" w:color="auto" w:fill="auto"/>
          <w:lang w:val="en-US" w:eastAsia="en-US" w:bidi="en-US"/>
        </w:rPr>
        <w:t xml:space="preserve">i. 207-213; cp.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Byzant. Zeitschr.</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(1895), p.</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193; G. Wobbermin in Harnack-Gebhardt, </w:t>
      </w:r>
      <w:r>
        <w:rPr>
          <w:rFonts w:ascii="Times New Roman" w:eastAsia="Times New Roman" w:hAnsi="Times New Roman" w:cs="Times New Roman"/>
          <w:i/>
          <w:iCs/>
          <w:color w:val="000000"/>
          <w:spacing w:val="0"/>
          <w:w w:val="100"/>
          <w:position w:val="0"/>
          <w:sz w:val="12"/>
          <w:szCs w:val="12"/>
          <w:shd w:val="clear" w:color="auto" w:fill="auto"/>
          <w:lang w:val="fr-FR" w:eastAsia="fr-FR" w:bidi="fr-FR"/>
        </w:rPr>
        <w:t xml:space="preserve">Texte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z w:val="12"/>
          <w:szCs w:val="12"/>
          <w:shd w:val="clear" w:color="auto" w:fill="auto"/>
          <w:lang w:val="de-DE" w:eastAsia="de-DE" w:bidi="de-DE"/>
        </w:rPr>
        <w:t>Untersuch.,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new series, ii. 3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(1899); P. Drews “ </w:t>
      </w:r>
      <w:r>
        <w:rPr>
          <w:rFonts w:ascii="Times New Roman" w:eastAsia="Times New Roman" w:hAnsi="Times New Roman" w:cs="Times New Roman"/>
          <w:color w:val="000000"/>
          <w:spacing w:val="0"/>
          <w:w w:val="100"/>
          <w:position w:val="0"/>
          <w:shd w:val="clear" w:color="auto" w:fill="auto"/>
          <w:lang w:val="de-DE" w:eastAsia="de-DE" w:bidi="de-DE"/>
        </w:rPr>
        <w:t xml:space="preserve">Über </w:t>
      </w:r>
      <w:r>
        <w:rPr>
          <w:rFonts w:ascii="Times New Roman" w:eastAsia="Times New Roman" w:hAnsi="Times New Roman" w:cs="Times New Roman"/>
          <w:color w:val="000000"/>
          <w:spacing w:val="0"/>
          <w:w w:val="100"/>
          <w:position w:val="0"/>
          <w:shd w:val="clear" w:color="auto" w:fill="auto"/>
          <w:lang w:val="en-US" w:eastAsia="en-US" w:bidi="en-US"/>
        </w:rPr>
        <w:t xml:space="preserve">Wobbermins </w:t>
      </w:r>
      <w:r>
        <w:rPr>
          <w:rFonts w:ascii="Times New Roman" w:eastAsia="Times New Roman" w:hAnsi="Times New Roman" w:cs="Times New Roman"/>
          <w:color w:val="000000"/>
          <w:spacing w:val="0"/>
          <w:w w:val="100"/>
          <w:position w:val="0"/>
          <w:shd w:val="clear" w:color="auto" w:fill="auto"/>
          <w:lang w:val="de-DE" w:eastAsia="de-DE" w:bidi="de-DE"/>
        </w:rPr>
        <w:t xml:space="preserve">Altchristliche liturgische Stücke aus d. Kirche Ägyptens ” in </w:t>
      </w:r>
      <w:r>
        <w:rPr>
          <w:rFonts w:ascii="Times New Roman" w:eastAsia="Times New Roman" w:hAnsi="Times New Roman" w:cs="Times New Roman"/>
          <w:i/>
          <w:iCs/>
          <w:color w:val="000000"/>
          <w:spacing w:val="0"/>
          <w:w w:val="100"/>
          <w:position w:val="0"/>
          <w:sz w:val="12"/>
          <w:szCs w:val="12"/>
          <w:shd w:val="clear" w:color="auto" w:fill="auto"/>
          <w:lang w:val="de-DE" w:eastAsia="de-DE" w:bidi="de-DE"/>
        </w:rPr>
        <w:t>Zeitschr. f. Kirchen-Geschichte,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xx.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de-DE" w:eastAsia="de-DE" w:bidi="de-DE"/>
        </w:rPr>
        <w:t xml:space="preserve">(Oct. </w:t>
      </w:r>
      <w:r>
        <w:rPr>
          <w:rFonts w:ascii="Times New Roman" w:eastAsia="Times New Roman" w:hAnsi="Times New Roman" w:cs="Times New Roman"/>
          <w:color w:val="000000"/>
          <w:spacing w:val="0"/>
          <w:w w:val="100"/>
          <w:position w:val="0"/>
          <w:shd w:val="clear" w:color="auto" w:fill="auto"/>
          <w:lang w:val="en-US" w:eastAsia="en-US" w:bidi="en-US"/>
        </w:rPr>
        <w:t xml:space="preserve">1899, </w:t>
      </w:r>
      <w:r>
        <w:rPr>
          <w:rFonts w:ascii="Times New Roman" w:eastAsia="Times New Roman" w:hAnsi="Times New Roman" w:cs="Times New Roman"/>
          <w:color w:val="000000"/>
          <w:spacing w:val="0"/>
          <w:w w:val="100"/>
          <w:position w:val="0"/>
          <w:shd w:val="clear" w:color="auto" w:fill="auto"/>
          <w:lang w:val="de-DE" w:eastAsia="de-DE" w:bidi="de-DE"/>
        </w:rPr>
        <w:t xml:space="preserve">Jan. </w:t>
      </w:r>
      <w:r>
        <w:rPr>
          <w:rFonts w:ascii="Times New Roman" w:eastAsia="Times New Roman" w:hAnsi="Times New Roman" w:cs="Times New Roman"/>
          <w:color w:val="000000"/>
          <w:spacing w:val="0"/>
          <w:w w:val="100"/>
          <w:position w:val="0"/>
          <w:shd w:val="clear" w:color="auto" w:fill="auto"/>
          <w:lang w:val="en-US" w:eastAsia="en-US" w:bidi="en-US"/>
        </w:rPr>
        <w:t xml:space="preserve">1900);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de-DE" w:eastAsia="de-DE" w:bidi="de-DE"/>
        </w:rPr>
        <w:t xml:space="preserve">E. Brightman, “ The Sacramentary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Serapion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Thmuis ” in </w:t>
      </w:r>
      <w:r>
        <w:rPr>
          <w:rFonts w:ascii="Times New Roman" w:eastAsia="Times New Roman" w:hAnsi="Times New Roman" w:cs="Times New Roman"/>
          <w:i/>
          <w:iCs/>
          <w:color w:val="000000"/>
          <w:spacing w:val="0"/>
          <w:w w:val="100"/>
          <w:position w:val="0"/>
          <w:sz w:val="12"/>
          <w:szCs w:val="12"/>
          <w:shd w:val="clear" w:color="auto" w:fill="auto"/>
          <w:lang w:val="de-DE" w:eastAsia="de-DE" w:bidi="de-DE"/>
        </w:rPr>
        <w:t xml:space="preserve">Journal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of Theological Studies,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and ii. (Oct. 1899, Jan. 1900); J. Words- worth,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Bishop Sarapion's Prayer-Book</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1899); P. </w:t>
      </w:r>
      <w:r>
        <w:rPr>
          <w:rFonts w:ascii="Times New Roman" w:eastAsia="Times New Roman" w:hAnsi="Times New Roman" w:cs="Times New Roman"/>
          <w:color w:val="000000"/>
          <w:spacing w:val="0"/>
          <w:w w:val="100"/>
          <w:position w:val="0"/>
          <w:shd w:val="clear" w:color="auto" w:fill="auto"/>
          <w:lang w:val="fr-FR" w:eastAsia="fr-FR" w:bidi="fr-FR"/>
        </w:rPr>
        <w:t xml:space="preserve">Batiffol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Bulletin </w:t>
      </w:r>
      <w:r>
        <w:rPr>
          <w:rFonts w:ascii="Times New Roman" w:eastAsia="Times New Roman" w:hAnsi="Times New Roman" w:cs="Times New Roman"/>
          <w:i/>
          <w:iCs/>
          <w:color w:val="000000"/>
          <w:spacing w:val="0"/>
          <w:w w:val="100"/>
          <w:position w:val="0"/>
          <w:sz w:val="12"/>
          <w:szCs w:val="12"/>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lit. ecclés.</w:t>
      </w:r>
      <w:r>
        <w:rPr>
          <w:rFonts w:ascii="Times New Roman" w:eastAsia="Times New Roman" w:hAnsi="Times New Roman" w:cs="Times New Roman"/>
          <w:color w:val="000000"/>
          <w:spacing w:val="0"/>
          <w:w w:val="100"/>
          <w:position w:val="0"/>
          <w:shd w:val="clear" w:color="auto" w:fill="auto"/>
          <w:lang w:val="en-US" w:eastAsia="en-US" w:bidi="en-US"/>
        </w:rPr>
        <w:t xml:space="preserve"> p. 69 sqq. (Toulouse, 1899).</w:t>
        <w:tab/>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smallCaps/>
          <w:color w:val="000000"/>
          <w:spacing w:val="0"/>
          <w:w w:val="100"/>
          <w:position w:val="0"/>
          <w:shd w:val="clear" w:color="auto" w:fill="auto"/>
          <w:lang w:val="en-US" w:eastAsia="en-US" w:bidi="en-US"/>
        </w:rPr>
        <w:t>Br.)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SERAPIS, the famous Graeco-Egyptian god. The statue of Serapis in the Serapeum of Alexandria was of purely Greek type and workmanship—a Hades or Pluto enthroned with a basket or corn measure on his head, a sceptre in his hand, Cerberus at his feet, and (apparently) a serpent. According to Plutarch, Ptolemy Soter stole it from Sinope, having been bidden by the unknown god in a dream to bring him to Alexandria. On its arrival the statue was pronounced to be Serapis by two experts in religious matters: the one the Eumolpid </w:t>
      </w:r>
      <w:r>
        <w:rPr>
          <w:rFonts w:ascii="Times New Roman" w:eastAsia="Times New Roman" w:hAnsi="Times New Roman" w:cs="Times New Roman"/>
          <w:color w:val="000000"/>
          <w:spacing w:val="0"/>
          <w:w w:val="100"/>
          <w:position w:val="0"/>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the Egyptian Manetho. This story may not be true (some con- tend that Sinope as the provenance of the statue originated in the hill of Sinopeion,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place of Apis (?), a name given to the site of the Serapeum at Memphis), but there is little doubt that Ptolemy Soter fixed the iconic type to serve for the god of the new capital of Egypt, where it was soon associated with Isis and Harpocrates in a triad. His policy was evidently to find a deity that should win the reverence alike of Greeks and Egyptians. The Greeks of that day would have had little respect for a grotesque Egyptian figure, while the Egyptians were more willing to accept divinity in any shape. A Greek statue was therefore chosen as the idol, and it was proclaimed as the anthropomorphic equivalent of a much revered and highly popular Egyptian beast-divinity, the dead Apis, assimilated to Osiris. The Greek figure probably had little effect on the native ideas,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it is likely that it served as a useful link between the two religions. The god of Alexandria soon won an important place in the Greek world. The anthropomorphic Isis and Horus were easily rendered in Greek style, and </w:t>
      </w:r>
      <w:r>
        <w:rPr>
          <w:rFonts w:ascii="Times New Roman" w:eastAsia="Times New Roman" w:hAnsi="Times New Roman" w:cs="Times New Roman"/>
          <w:color w:val="000000"/>
          <w:spacing w:val="0"/>
          <w:w w:val="100"/>
          <w:position w:val="0"/>
          <w:shd w:val="clear" w:color="auto" w:fill="auto"/>
          <w:lang w:val="de-DE" w:eastAsia="de-DE" w:bidi="de-DE"/>
        </w:rPr>
        <w:t xml:space="preserve">Anubis </w:t>
      </w:r>
      <w:r>
        <w:rPr>
          <w:rFonts w:ascii="Times New Roman" w:eastAsia="Times New Roman" w:hAnsi="Times New Roman" w:cs="Times New Roman"/>
          <w:color w:val="000000"/>
          <w:spacing w:val="0"/>
          <w:w w:val="100"/>
          <w:position w:val="0"/>
          <w:shd w:val="clear" w:color="auto" w:fill="auto"/>
          <w:lang w:val="en-US" w:eastAsia="en-US" w:bidi="en-US"/>
        </w:rPr>
        <w:t xml:space="preserve">was prepared for by Cerberus. The worship of Serapis along with Isis, Horus and </w:t>
      </w:r>
      <w:r>
        <w:rPr>
          <w:rFonts w:ascii="Times New Roman" w:eastAsia="Times New Roman" w:hAnsi="Times New Roman" w:cs="Times New Roman"/>
          <w:color w:val="000000"/>
          <w:spacing w:val="0"/>
          <w:w w:val="100"/>
          <w:position w:val="0"/>
          <w:shd w:val="clear" w:color="auto" w:fill="auto"/>
          <w:lang w:val="de-DE" w:eastAsia="de-DE" w:bidi="de-DE"/>
        </w:rPr>
        <w:t xml:space="preserve">Anubis </w:t>
      </w:r>
      <w:r>
        <w:rPr>
          <w:rFonts w:ascii="Times New Roman" w:eastAsia="Times New Roman" w:hAnsi="Times New Roman" w:cs="Times New Roman"/>
          <w:color w:val="000000"/>
          <w:spacing w:val="0"/>
          <w:w w:val="100"/>
          <w:position w:val="0"/>
          <w:shd w:val="clear" w:color="auto" w:fill="auto"/>
          <w:lang w:val="en-US" w:eastAsia="en-US" w:bidi="en-US"/>
        </w:rPr>
        <w:t xml:space="preserve">spread far and wide, reached Rome, and ultimately became one of the leading cults of the west. The destruction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385 of the Serapeum of Alexandria, and of the famous idol within it, after the decree of Theodosius, marked the death- agony of paganism throughout the empire.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assumed above that the name Serapis (so written in later Greek and in Latin, in earlier Greek Sarapis) is derived from the Egyptian Userhapi—as it were Osiris-Apis—the name of the bull Apis, dead and, like all the blessed dead, assimilated to Osiris, king of the underworld. There is no doubt that Serapis was before long identified with Userhapi; the identification appears clearly in a bilingual inscription of the time of Ptolemy Philopator (221-205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frequently later. It has, however, been contended by an eminent authority (Wilcken,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Archiv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für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Papy</w:t>
        <w:softHyphen/>
        <w:t>rusforschung,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 249) that the parallel occurrence of the names Sarapis and Osorapis (Userhapi) points to an independent origin for the former. But doublets,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Petisis-Petêsis, are common in Graecisms of Egyptian names. The more accurate form is then generally the later, found in documents written by Greeks in familiar intercourse with Egyptians, the less accurate is traditional from an older date in the mouths of pure Greeks and Hellenists, and is used in literary writings. Thus Sarapis would be the literary and official form of the name; it might be traditional, dating perhaps from the reign of Amasis or from the Persian period. We know that in Herodotus’s day, and long before, the discovery of the new Apis was the occasion of universal rejoicing, and his death of universal mourning. The ancient Serapeum (Puserhapi) and the name Userhap would be almost as familiar to early Greek wanderers in Egypt as the Apieum and Apis itself.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why was a Plutonic Serapis selected rather than another god to furnish the Egyptian element to the chief divinity of Alexandria? According to one account in Tacitus, Sarapis was the god of the village of Rhacotis before it suddenly expanded into a great capital; but it is not very probable that temples were erected to the dead Apis except at his Memphite tomb. Alexander had courted Ammon. But Ammon had little hold on the affections of the Egyptian people. He was the god of Ethiopia and the Thebais which were antagonistic to the pro- gressive north. On the other hand, Osiris with Isis and Horus was everywhere honoured and popular, and while the artificer Ptah, the god of the great native capital of Egypt, made no appeal to the imagination, the Apis bull, an incarnation of Ptah, threw Ptah himself altogether into the shade in the popular estimation. The combination of Osiris and the Apis bull which was found in the dead Apis was thus a most politic choice in naming the new divinity, whose figure represented a god of the underworld wearing an emblem of fruitfulness.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mention of Sarapis is in the authentic death scene of Alexander, from the royal diaries (Arrian,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Anabasis,</w:t>
      </w:r>
      <w:r>
        <w:rPr>
          <w:rFonts w:ascii="Times New Roman" w:eastAsia="Times New Roman" w:hAnsi="Times New Roman" w:cs="Times New Roman"/>
          <w:color w:val="000000"/>
          <w:spacing w:val="0"/>
          <w:w w:val="100"/>
          <w:position w:val="0"/>
          <w:shd w:val="clear" w:color="auto" w:fill="auto"/>
          <w:lang w:val="en-US" w:eastAsia="en-US" w:bidi="en-US"/>
        </w:rPr>
        <w:t xml:space="preserve"> vii. 26). Here Sarapis has a temple at Babylon and is of such importance that he alone is named as being consulted on behalf of the dying king. It would considerably alter our conception of the dead Apis if we were to find that a travelling shrine of his divinity accompanied Alexander on his expedition or was set up for him in Babylon. On the other hand, the principal god of Babylon was Zeus Belus (Bel Marduk), and it is difficult to see why he should have been called Sarapis on this occasion. Evidence has, however, been found to prove that Ea, entitled Šarapsi, “ king of the deep (sea),” who was also great in learning and magic, had a temple in the city (Lehmann in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Beiträge zur alten Geschichte, </w:t>
      </w:r>
      <w:r>
        <w:rPr>
          <w:rFonts w:ascii="Times New Roman" w:eastAsia="Times New Roman" w:hAnsi="Times New Roman" w:cs="Times New Roman"/>
          <w:color w:val="000000"/>
          <w:spacing w:val="0"/>
          <w:w w:val="100"/>
          <w:position w:val="0"/>
          <w:shd w:val="clear" w:color="auto" w:fill="auto"/>
          <w:lang w:val="de-DE" w:eastAsia="de-DE" w:bidi="de-DE"/>
        </w:rPr>
        <w:t xml:space="preserve">iv. </w:t>
      </w:r>
      <w:r>
        <w:rPr>
          <w:rFonts w:ascii="Times New Roman" w:eastAsia="Times New Roman" w:hAnsi="Times New Roman" w:cs="Times New Roman"/>
          <w:color w:val="000000"/>
          <w:spacing w:val="0"/>
          <w:w w:val="100"/>
          <w:position w:val="0"/>
          <w:shd w:val="clear" w:color="auto" w:fill="auto"/>
          <w:lang w:val="en-US" w:eastAsia="en-US" w:bidi="en-US"/>
        </w:rPr>
        <w:t>396). It seems unwarranted to make this Šarapsi = Sarapis travel to Sinope and thence to Alexandria as the type of the Egyptian god; but whether or no the Egyptian appellation Sarapis was applied to express the Babylonian Šarapsi, the part it played in the last days of Alexander may have determined the choice by which the Egyptian Osiris-Apis supplied the name and some leading characteristics to the god of Alexandria.</w:t>
      </w:r>
    </w:p>
    <w:sectPr>
      <w:footnotePr>
        <w:pos w:val="pageBottom"/>
        <w:numFmt w:val="decimal"/>
        <w:numRestart w:val="continuous"/>
      </w:footnotePr>
      <w:pgSz w:w="12240" w:h="15840"/>
      <w:pgMar w:top="850" w:left="963" w:right="833"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