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men </w:t>
      </w:r>
      <w:r>
        <w:rPr>
          <w:rFonts w:ascii="Times New Roman" w:eastAsia="Times New Roman" w:hAnsi="Times New Roman" w:cs="Times New Roman"/>
          <w:color w:val="000000"/>
          <w:spacing w:val="0"/>
          <w:w w:val="100"/>
          <w:position w:val="0"/>
          <w:shd w:val="clear" w:color="auto" w:fill="auto"/>
          <w:lang w:val="en-US" w:eastAsia="en-US" w:bidi="en-US"/>
        </w:rPr>
        <w:t xml:space="preserve">waved </w:t>
      </w:r>
      <w:r>
        <w:rPr>
          <w:rFonts w:ascii="Times New Roman" w:eastAsia="Times New Roman" w:hAnsi="Times New Roman" w:cs="Times New Roman"/>
          <w:color w:val="000000"/>
          <w:spacing w:val="0"/>
          <w:w w:val="100"/>
          <w:position w:val="0"/>
          <w:shd w:val="clear" w:color="auto" w:fill="auto"/>
          <w:lang w:val="en-US" w:eastAsia="en-US" w:bidi="en-US"/>
        </w:rPr>
        <w:t xml:space="preserve">great red snakes over their beads as they marched in procession. One may even recall the cult of Dahomey. More- over, </w:t>
      </w:r>
      <w:r>
        <w:rPr>
          <w:rFonts w:ascii="Times New Roman" w:eastAsia="Times New Roman" w:hAnsi="Times New Roman" w:cs="Times New Roman"/>
          <w:color w:val="000000"/>
          <w:spacing w:val="0"/>
          <w:w w:val="100"/>
          <w:position w:val="0"/>
          <w:shd w:val="clear" w:color="auto" w:fill="auto"/>
          <w:lang w:val="en-US" w:eastAsia="en-US" w:bidi="en-US"/>
        </w:rPr>
        <w:t xml:space="preserve">we find </w:t>
      </w:r>
      <w:r>
        <w:rPr>
          <w:rFonts w:ascii="Times New Roman" w:eastAsia="Times New Roman" w:hAnsi="Times New Roman" w:cs="Times New Roman"/>
          <w:color w:val="000000"/>
          <w:spacing w:val="0"/>
          <w:w w:val="100"/>
          <w:position w:val="0"/>
          <w:shd w:val="clear" w:color="auto" w:fill="auto"/>
          <w:lang w:val="en-US" w:eastAsia="en-US" w:bidi="en-US"/>
        </w:rPr>
        <w:t xml:space="preserve">at Madagascar the procession of the god of fertility and healing, the patron of serpents who are the ministers of his </w:t>
      </w:r>
      <w:r>
        <w:rPr>
          <w:rFonts w:ascii="Times New Roman" w:eastAsia="Times New Roman" w:hAnsi="Times New Roman" w:cs="Times New Roman"/>
          <w:color w:val="000000"/>
          <w:spacing w:val="0"/>
          <w:w w:val="100"/>
          <w:position w:val="0"/>
          <w:shd w:val="clear" w:color="auto" w:fill="auto"/>
          <w:lang w:val="en-US" w:eastAsia="en-US" w:bidi="en-US"/>
        </w:rPr>
        <w:t xml:space="preserve">vengeance </w:t>
      </w:r>
      <w:r>
        <w:rPr>
          <w:rFonts w:ascii="Times New Roman" w:eastAsia="Times New Roman" w:hAnsi="Times New Roman" w:cs="Times New Roman"/>
          <w:color w:val="000000"/>
          <w:spacing w:val="0"/>
          <w:w w:val="100"/>
          <w:position w:val="0"/>
          <w:shd w:val="clear" w:color="auto" w:fill="auto"/>
          <w:lang w:val="en-US" w:eastAsia="en-US" w:bidi="en-US"/>
        </w:rPr>
        <w:t xml:space="preserve">(Frazer, </w:t>
      </w:r>
      <w:r>
        <w:rPr>
          <w:rFonts w:ascii="Times New Roman" w:eastAsia="Times New Roman" w:hAnsi="Times New Roman" w:cs="Times New Roman"/>
          <w:i/>
          <w:iCs/>
          <w:color w:val="000000"/>
          <w:spacing w:val="0"/>
          <w:w w:val="100"/>
          <w:position w:val="0"/>
          <w:shd w:val="clear" w:color="auto" w:fill="auto"/>
          <w:lang w:val="en-US" w:eastAsia="en-US" w:bidi="en-US"/>
        </w:rPr>
        <w:t>Paus.</w:t>
      </w:r>
      <w:r>
        <w:rPr>
          <w:rFonts w:ascii="Times New Roman" w:eastAsia="Times New Roman" w:hAnsi="Times New Roman" w:cs="Times New Roman"/>
          <w:color w:val="000000"/>
          <w:spacing w:val="0"/>
          <w:w w:val="100"/>
          <w:position w:val="0"/>
          <w:shd w:val="clear" w:color="auto" w:fill="auto"/>
          <w:lang w:val="en-US" w:eastAsia="en-US" w:bidi="en-US"/>
        </w:rPr>
        <w:t xml:space="preserve"> v. 66 seq.). In a Bengal festival the men march entwined with serpents, while the chief man has a rock-boa or python round his neck and is carried or rides on a </w:t>
      </w:r>
      <w:r>
        <w:rPr>
          <w:rFonts w:ascii="Times New Roman" w:eastAsia="Times New Roman" w:hAnsi="Times New Roman" w:cs="Times New Roman"/>
          <w:color w:val="000000"/>
          <w:spacing w:val="0"/>
          <w:w w:val="100"/>
          <w:position w:val="0"/>
          <w:shd w:val="clear" w:color="auto" w:fill="auto"/>
          <w:lang w:val="en-US" w:eastAsia="en-US" w:bidi="en-US"/>
        </w:rPr>
        <w:t xml:space="preserve">buffalo </w:t>
      </w:r>
      <w:r>
        <w:rPr>
          <w:rFonts w:ascii="Times New Roman" w:eastAsia="Times New Roman" w:hAnsi="Times New Roman" w:cs="Times New Roman"/>
          <w:color w:val="000000"/>
          <w:spacing w:val="0"/>
          <w:w w:val="100"/>
          <w:position w:val="0"/>
          <w:shd w:val="clear" w:color="auto" w:fill="auto"/>
          <w:lang w:val="en-US" w:eastAsia="en-US" w:bidi="en-US"/>
        </w:rPr>
        <w:t xml:space="preserve">(Fergusson, 259). Again, among the Moquis of America, where the snake-clan claim descent from a woman who gave </w:t>
      </w:r>
      <w:r>
        <w:rPr>
          <w:rFonts w:ascii="Times New Roman" w:eastAsia="Times New Roman" w:hAnsi="Times New Roman" w:cs="Times New Roman"/>
          <w:color w:val="000000"/>
          <w:spacing w:val="0"/>
          <w:w w:val="100"/>
          <w:position w:val="0"/>
          <w:shd w:val="clear" w:color="auto" w:fill="auto"/>
          <w:lang w:val="en-US" w:eastAsia="en-US" w:bidi="en-US"/>
        </w:rPr>
        <w:t xml:space="preserve">birth to </w:t>
      </w:r>
      <w:r>
        <w:rPr>
          <w:rFonts w:ascii="Times New Roman" w:eastAsia="Times New Roman" w:hAnsi="Times New Roman" w:cs="Times New Roman"/>
          <w:color w:val="000000"/>
          <w:spacing w:val="0"/>
          <w:w w:val="100"/>
          <w:position w:val="0"/>
          <w:shd w:val="clear" w:color="auto" w:fill="auto"/>
          <w:lang w:val="en-US" w:eastAsia="en-US" w:bidi="en-US"/>
        </w:rPr>
        <w:t xml:space="preserve">snakes, the reptiles are freely handled at the “ snake </w:t>
      </w:r>
      <w:r>
        <w:rPr>
          <w:rFonts w:ascii="Times New Roman" w:eastAsia="Times New Roman" w:hAnsi="Times New Roman" w:cs="Times New Roman"/>
          <w:color w:val="000000"/>
          <w:spacing w:val="0"/>
          <w:w w:val="100"/>
          <w:position w:val="0"/>
          <w:shd w:val="clear" w:color="auto" w:fill="auto"/>
          <w:lang w:val="en-US" w:eastAsia="en-US" w:bidi="en-US"/>
        </w:rPr>
        <w:t xml:space="preserve">dances ” </w:t>
      </w:r>
      <w:r>
        <w:rPr>
          <w:rFonts w:ascii="Times New Roman" w:eastAsia="Times New Roman" w:hAnsi="Times New Roman" w:cs="Times New Roman"/>
          <w:color w:val="000000"/>
          <w:spacing w:val="0"/>
          <w:w w:val="100"/>
          <w:position w:val="0"/>
          <w:shd w:val="clear" w:color="auto" w:fill="auto"/>
          <w:lang w:val="en-US" w:eastAsia="en-US" w:bidi="en-US"/>
        </w:rPr>
        <w:t xml:space="preserve">which are performed partly to secure the fertility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soil.@@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These last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examples are important because they illustrate the immense difficulty of determining the true significance of any isolated piece of evidence. It cannot be assumed that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isolated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features which find a parallel in more completely known cults presuppose such cults; yet it may be inferred that they point to earlier, more perfect structures,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rites which perhaps linger only as a memory, and to conceptions and beliefs which have been elevated or modified by other religions. Hence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also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impossibility of treating the present subject schematic</w:t>
        <w:softHyphen/>
        <w:t xml:space="preserve">ally.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Apart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from the more obvious characteristics of the serpent likely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impress all observant minds (§ 1), its essentially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chthonic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character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shows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itself markedly when it is associated with the treasures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healing herbs of the earth, the produce of the soil,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source of springs—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thence of all water—and the dust unto which </w:t>
      </w:r>
      <w:r>
        <w:rPr>
          <w:rFonts w:ascii="Times New Roman" w:eastAsia="Times New Roman" w:hAnsi="Times New Roman" w:cs="Times New Roman"/>
          <w:color w:val="000000"/>
          <w:spacing w:val="0"/>
          <w:w w:val="100"/>
          <w:position w:val="0"/>
          <w:sz w:val="17"/>
          <w:szCs w:val="17"/>
          <w:shd w:val="clear" w:color="auto" w:fill="auto"/>
          <w:lang w:val="en-US" w:eastAsia="en-US" w:bidi="en-US"/>
        </w:rPr>
        <w:t>all men return.@@</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Although much evidence connects the serpent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with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dead,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especially as a guardian-spirit over the living, any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discussion of this aspect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 subject is bound up with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varying beliefs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regarding ancestors and death. Among the Arunta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Central Australia,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ghosts of the dead haunt certain localities,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entering the bodies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passing women, are constantly rein-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carnated;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Black-snake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clan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Warramunga tribe embodies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spirits which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original ancestor had deposited by a certain </w:t>
      </w:r>
      <w:r>
        <w:rPr>
          <w:rFonts w:ascii="Times New Roman" w:eastAsia="Times New Roman" w:hAnsi="Times New Roman" w:cs="Times New Roman"/>
          <w:color w:val="000000"/>
          <w:spacing w:val="0"/>
          <w:w w:val="100"/>
          <w:position w:val="0"/>
          <w:sz w:val="17"/>
          <w:szCs w:val="17"/>
          <w:shd w:val="clear" w:color="auto" w:fill="auto"/>
          <w:lang w:val="en-US" w:eastAsia="en-US" w:bidi="en-US"/>
        </w:rPr>
        <w:t>creek.@@</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other hand,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rattlesnake ” men of the Moqui are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merely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transformations and expect to return at death to their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original reptile form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(Maclennan, 357). It is another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stage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only the more conspicuous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mortals assume serpent guise, and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deification of heroes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involves yet another course of ideas. Here it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evident that some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attributes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prominent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serpent-gods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will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 purely secondary.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Moreover, it 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human weakness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en-US" w:eastAsia="en-US" w:bidi="en-US"/>
        </w:rPr>
        <w:t>mani</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pulate one’s ancestry,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common claim to be descended from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local godling is not to be confused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with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Arunta type </w:t>
      </w:r>
      <w:r>
        <w:rPr>
          <w:rFonts w:ascii="Times New Roman" w:eastAsia="Times New Roman" w:hAnsi="Times New Roman" w:cs="Times New Roman"/>
          <w:color w:val="000000"/>
          <w:spacing w:val="0"/>
          <w:w w:val="100"/>
          <w:position w:val="0"/>
          <w:sz w:val="17"/>
          <w:szCs w:val="17"/>
          <w:shd w:val="clear" w:color="auto" w:fill="auto"/>
          <w:lang w:val="en-US" w:eastAsia="en-US" w:bidi="en-US"/>
        </w:rPr>
        <w:t>of</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reincarnation.@@</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Again, in the part taken by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women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serpent-lore other problems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primitive society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religion intermingle. For example, when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one considers how often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milk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used in the tending and propitiation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venerated snakes, it is noteworthy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in Roman cult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truly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rustic deities are offered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milk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(Fowler),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it is no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less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singular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many of the old goddesses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Greece have serpent attributes </w:t>
      </w:r>
      <w:r>
        <w:rPr>
          <w:rFonts w:ascii="Times New Roman" w:eastAsia="Times New Roman" w:hAnsi="Times New Roman" w:cs="Times New Roman"/>
          <w:color w:val="000000"/>
          <w:spacing w:val="0"/>
          <w:w w:val="100"/>
          <w:position w:val="0"/>
          <w:sz w:val="17"/>
          <w:szCs w:val="17"/>
          <w:shd w:val="clear" w:color="auto" w:fill="auto"/>
          <w:lang w:val="en-US" w:eastAsia="en-US" w:bidi="en-US"/>
        </w:rPr>
        <w:t>(Harrison).@@</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Now anthropological research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has vividly shown that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woman, naturally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fitted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seemed)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understand the mysteries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increase, was assigned 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prominent part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rites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furtherance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growth and fertility.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same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thread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ideas seems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recur in the “ wives ” of the python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Dañh-gbi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12),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Shakti </w:t>
      </w:r>
      <w:r>
        <w:rPr>
          <w:rFonts w:ascii="Times New Roman" w:eastAsia="Times New Roman" w:hAnsi="Times New Roman" w:cs="Times New Roman"/>
          <w:color w:val="000000"/>
          <w:spacing w:val="0"/>
          <w:w w:val="100"/>
          <w:position w:val="0"/>
          <w:sz w:val="17"/>
          <w:szCs w:val="17"/>
          <w:shd w:val="clear" w:color="auto" w:fill="auto"/>
          <w:lang w:val="en-US" w:eastAsia="en-US" w:bidi="en-US"/>
        </w:rPr>
        <w:t>cere</w:t>
        <w:softHyphen/>
        <w:t xml:space="preserve">monies in India for the increase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divine energy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nature (Fergusson, 258 seq.),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certain </w:t>
      </w:r>
      <w:r>
        <w:rPr>
          <w:rFonts w:ascii="Times New Roman" w:eastAsia="Times New Roman" w:hAnsi="Times New Roman" w:cs="Times New Roman"/>
          <w:color w:val="000000"/>
          <w:spacing w:val="0"/>
          <w:w w:val="100"/>
          <w:position w:val="0"/>
          <w:sz w:val="17"/>
          <w:szCs w:val="17"/>
          <w:shd w:val="clear" w:color="auto" w:fill="auto"/>
          <w:lang w:val="en-US" w:eastAsia="en-US" w:bidi="en-US"/>
        </w:rPr>
        <w:t>extent, in the providing of</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deities or demons of serpent-type with consorts.@@</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There is every</w:t>
        <w:softHyphen/>
        <w:t xml:space="preserve">where a danger of misunderstanding isolated evidence, of wrongly classifying different motives, and of overlooking necessary links in the chain of argument. There is an obvious development from the serpent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qua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reptile to the deity or the devil, and that the original theriomorphic form is not at once forgotten can be seen in Zeus Meilichios, Aesculapius Amynos, in the Cretan snake-goddesses, or in the Buddhist topes illustrated by Fergusson. But naturally there are other developments to be noticed when originally distinct attributes are combined, when, for example, Greek goddesses take the forms of birds as well as of snakes (Harrison,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322),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when the Aztec snake-deity Huitzilcpochtli, like the Votan of the Mayas, has feathers (Maclennan, 384).@@</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7</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Thus it will be perceived that the subject of this article involves at every turn problems of the history of thought (cf. the similar difficulties in the discussion of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Tree-worship).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There is ample material for purely comparative purposes and for an estimate both of the general fundamental ideas and of the artificially-developed secondary speculations; but for any scientific research it is necessary to observe the social, religious and historical conditions of the provenance and period of the evidence, and for this the material is often insufficient. The references in this article furnish fuller information and are usually made to works suitable for pursuing the subject more thoroughly. One may also consult the English and foreign journals devoted to folklore, comparative religion or anthropology (especially the volumes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Folklore,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Index,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Snakes ”), and the articles in this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Encyclopaedia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 the various departments of primitive religion. In general, works which endea</w:t>
        <w:softHyphen/>
        <w:t xml:space="preserve">vour to reduce the evidence for this fascinating subject to clear- cut systems are more useful for the data they provide than for their conclusions, and it is not unnecessary to warn readers against the unscientific studies of “ ophiolatry ” and especially against “ that portentous nonsense called the 'arkite symbolism’ (see E. B. Tylor’s remarks,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Primitive Culture,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4th ed., </w:t>
      </w:r>
      <w:r>
        <w:rPr>
          <w:rFonts w:ascii="Times New Roman" w:eastAsia="Times New Roman" w:hAnsi="Times New Roman" w:cs="Times New Roman"/>
          <w:color w:val="000000"/>
          <w:spacing w:val="0"/>
          <w:w w:val="100"/>
          <w:position w:val="0"/>
          <w:shd w:val="clear" w:color="auto" w:fill="auto"/>
          <w:lang w:val="en-US" w:eastAsia="en-US" w:bidi="en-US"/>
        </w:rPr>
        <w:t>ii. 239).</w:t>
      </w:r>
    </w:p>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 A. </w:t>
      </w:r>
      <w:r>
        <w:rPr>
          <w:rFonts w:ascii="Times New Roman" w:eastAsia="Times New Roman" w:hAnsi="Times New Roman" w:cs="Times New Roman"/>
          <w:color w:val="000000"/>
          <w:spacing w:val="0"/>
          <w:w w:val="100"/>
          <w:position w:val="0"/>
          <w:shd w:val="clear" w:color="auto" w:fill="auto"/>
          <w:lang w:val="en-US" w:eastAsia="en-US" w:bidi="en-US"/>
        </w:rPr>
        <w:t>C.)</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SERPUKHOV, a </w:t>
      </w:r>
      <w:r>
        <w:rPr>
          <w:rFonts w:ascii="Times New Roman" w:eastAsia="Times New Roman" w:hAnsi="Times New Roman" w:cs="Times New Roman"/>
          <w:color w:val="000000"/>
          <w:spacing w:val="0"/>
          <w:w w:val="100"/>
          <w:position w:val="0"/>
          <w:shd w:val="clear" w:color="auto" w:fill="auto"/>
          <w:lang w:val="en-US" w:eastAsia="en-US" w:bidi="en-US"/>
        </w:rPr>
        <w:t>town of Russia, in the government of Moscow, 62 m. by rail S. of the city of Moscow. The population in 1884 was 22,420, and 24,456 in 1897. Built on high cliffs on both banks of the river Nara, 3 m. above its confluence with the Oka, Serpukhov is an important manufacturing and commercial town. Its manufactories produce cotton and woollen stuffs, paper, leather, chemicals and candles. Petty trades are much developed in the neighbourhood—textile fabrics, furniture, and earthenware and porcelain. The manufactured goods of Serpukhov are sent— mostly by rail—to the fairs of Nizhniy-Novgorod and the Ukraine, while large amounts of grain, hemp and timber, brought from the east down the Oka, are discharged at Serpukhov and sent on to Moscow and St Petersburg. The cathedral (1380) was rebuilt in the 18th century; the old fortress has almost entirely disappeared.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Serpukhov is one of the oldest towns of the principality of Moscow; in 1328 it was a nearly independent principality under the protectorate of Moscow. Its fortress protected Moscow on the south and was often attacked by the Tatars; the Mongol prince Toktamish plundered it in 1382, and the Lithuanians in 1410. In 1556 the town was strongly fortified, so that fifteen years later it was able to resist the Mongols. Its commercial importance dates from the 18th century.</w:t>
      </w:r>
    </w:p>
    <w:p>
      <w:pPr>
        <w:pStyle w:val="Style3"/>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SERRANO </w:t>
      </w:r>
      <w:r>
        <w:rPr>
          <w:rFonts w:ascii="Times New Roman" w:eastAsia="Times New Roman" w:hAnsi="Times New Roman" w:cs="Times New Roman"/>
          <w:b/>
          <w:bCs/>
          <w:color w:val="000000"/>
          <w:spacing w:val="0"/>
          <w:w w:val="100"/>
          <w:position w:val="0"/>
          <w:sz w:val="15"/>
          <w:szCs w:val="15"/>
          <w:shd w:val="clear" w:color="auto" w:fill="auto"/>
          <w:lang w:val="fr-FR" w:eastAsia="fr-FR" w:bidi="fr-FR"/>
        </w:rPr>
        <w:t xml:space="preserve">Y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DOMINGUEZ, FRANCISCO,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Duke de </w:t>
      </w:r>
      <w:r>
        <w:rPr>
          <w:rFonts w:ascii="Times New Roman" w:eastAsia="Times New Roman" w:hAnsi="Times New Roman" w:cs="Times New Roman"/>
          <w:smallCaps/>
          <w:color w:val="000000"/>
          <w:spacing w:val="0"/>
          <w:w w:val="100"/>
          <w:position w:val="0"/>
          <w:shd w:val="clear" w:color="auto" w:fill="auto"/>
          <w:lang w:val="en-US" w:eastAsia="en-US" w:bidi="en-US"/>
        </w:rPr>
        <w:t>la Torre and Count of Sλn Antonio</w:t>
      </w:r>
      <w:r>
        <w:rPr>
          <w:rFonts w:ascii="Times New Roman" w:eastAsia="Times New Roman" w:hAnsi="Times New Roman" w:cs="Times New Roman"/>
          <w:color w:val="000000"/>
          <w:spacing w:val="0"/>
          <w:w w:val="100"/>
          <w:position w:val="0"/>
          <w:shd w:val="clear" w:color="auto" w:fill="auto"/>
          <w:lang w:val="en-US" w:eastAsia="en-US" w:bidi="en-US"/>
        </w:rPr>
        <w:t xml:space="preserve"> (1810-1885), Spanish marshal and statesman, was born in the island of Leon at Cadiz on the 17th of December 1810. His father was a general officer and a Liberal. Serrano began his studies at Vergara in the Basque provinces, became a cadet in 1822, cornet in 1833 in the lancers of Sagunto, passed into the carabineers in 1829, and when the Carlist agitation began in 1833 he exchanged into the cuirassiers. He formed part of the escort which accompanied Don Carlos, the first pretender and brother of Ferdinand VII., to the frontier of Portugal. As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Bourke,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Snake-Dance of the Moquis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(1884), p. 180 seq.;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Frazer,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Totem,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and Exog.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iii. 229 sqq.</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will note the prevalence of the ideas of “ mother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earth,” and also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association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higher religions of chthonic powers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with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serpent, so,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winds (viz. Boreas in Greece, cf.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Harrison,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Prol.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68, 181), subterranean gods (for Assyria, cf.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Zeit.f.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Assyr.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[1894]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 116, and for the Finns, Fergusson, p. 25 seq.). For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serpent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(sometimes with anthropomorphic hints) in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Tabellae devotionis,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R. Wünsch,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Sethianische Verfiuchungstafeln </w:t>
      </w:r>
      <w:r>
        <w:rPr>
          <w:rFonts w:ascii="Times New Roman" w:eastAsia="Times New Roman" w:hAnsi="Times New Roman" w:cs="Times New Roman"/>
          <w:color w:val="000000"/>
          <w:spacing w:val="0"/>
          <w:w w:val="100"/>
          <w:position w:val="0"/>
          <w:sz w:val="17"/>
          <w:szCs w:val="17"/>
          <w:shd w:val="clear" w:color="auto" w:fill="auto"/>
          <w:lang w:val="en-US" w:eastAsia="en-US" w:bidi="en-US"/>
        </w:rPr>
        <w:t>(Leipzig, 1898), 100</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sqq., and for a Carthaginian triad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under world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(cf.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threefold Hecate) including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bawwah,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serpent ”), see G. 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Cooke,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Semit.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Inscr.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(1903), p. 135.</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Spencer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Gillen,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Tribes of Central Australia,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162, 330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seq. (Frazer,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Adonis,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80); A. Lang,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Origins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Religion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(1890), p. 124.</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There appears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be a fundamental inclination towards ideas of rebirth and reincarnation (see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 Jevons,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Introd. to Study of Comp. Religion,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1908, pp. 50 sqq., 59 sqq.) ; it would seem to be wrapped up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feeling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 essential "one-ness ” of the group (including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its deity),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involves the belief that such corporate bodies never die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even the Roman conception of the family, Maine,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op.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cit.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197 </w:t>
      </w:r>
      <w:r>
        <w:rPr>
          <w:rFonts w:ascii="Times New Roman" w:eastAsia="Times New Roman" w:hAnsi="Times New Roman" w:cs="Times New Roman"/>
          <w:color w:val="000000"/>
          <w:spacing w:val="0"/>
          <w:w w:val="100"/>
          <w:position w:val="0"/>
          <w:sz w:val="17"/>
          <w:szCs w:val="17"/>
          <w:shd w:val="clear" w:color="auto" w:fill="auto"/>
          <w:lang w:val="en-US" w:eastAsia="en-US" w:bidi="en-US"/>
        </w:rPr>
        <w:t>sqq.).</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 W. Fowler,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Roman Festivals,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103-105; Harrison,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Journ. Hell. Stud.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xix. 221. For the use of milk, cf. Frazer,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Adonis,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74 (with the suggestion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because milk is the food of babes), Crooke ii. 130, and F. Fawcett,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Madras Gov. Bull.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(1900), iii. 1, 58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South-Indian festival on the fifth of Srävana, when the serpent- deity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bathed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milk).</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Here the transition from mother-right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paternity should probably be taken into consideration. For the view that the serpent as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genius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daemon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may be replaced by the human (and female) victim, who thus becomes in time the guardian (cf. § 10), see J. C. Lawson,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op. cit.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pp. 271 sqq.</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One may note the Indian local saint Gûga, who punishes by snake-bite and can cure his worshippers (similarly the Egyptian Mert-seger, the serpent-patroness of the Theban necropolis and the serpent, the saviour-god of the Phrygian Hierapolis); he is repre</w:t>
        <w:softHyphen/>
        <w:t>sented on horseback descending to the infernal regions; over him two snakes meet, one being coiled round the long staff which he holds in his hands (Crooke i. 212 seq.). But how many different factors may not have influenced the representation!</w:t>
      </w:r>
    </w:p>
    <w:p>
      <w:pPr>
        <w:widowControl w:val="0"/>
        <w:spacing w:line="1" w:lineRule="exact"/>
      </w:pPr>
    </w:p>
    <w:sectPr>
      <w:footnotePr>
        <w:pos w:val="pageBottom"/>
        <w:numFmt w:val="decimal"/>
        <w:numRestart w:val="continuous"/>
      </w:footnotePr>
      <w:type w:val="continuous"/>
      <w:pgSz w:w="12240" w:h="15840"/>
      <w:pgMar w:top="923" w:left="1052" w:right="764" w:bottom="6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