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1875 Servia adopted the decimal system for money, weights and measures, which came into actual use in 1883. The monetary unit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dinar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(franc) of 100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(centimes). In circulation there are gold pieces of 10 and 20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dinars;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silver of 50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1, 2 and 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dinars;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nickel of 5, 10 and 20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bronze of 2 paras. Twenty-five dinars equal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sterling.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Chief Towns.—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chief towns of Servia are Belgrade, the capital, with 69,097 inhabitants in 1900; Nish (24,451); Kraguyevats (14,160); Pozharevats (12,957); Leskovats (13,000); Shabats (12,072); Vranya (11,921); Pirot (10,421); Krushevats (10,000); Uzhitse (7000) ; Valyevo (6800) ; Semendria (6912) ; Chupriya (6000); and Kralyevo (3600).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Communications.—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Until the middle of the 19th century, travellers through the Balkan Peninsula had a choice between two main routes, which started as a single highway from Belgrade, and up the Morava valley to Nish. Here two roads diverge; one branching off south- eastwards to Pirot, Sofia and Constantinople; the other proceeding southwards to Vranya, Usküb and Salonica. The railway which connects western and central Europe with Constantinople and Salonica takes the same course. That section of it which traverses Servia was begun in 1881 and finished in 1888. Branch lines give access to Kraguyevats, Zayechar, Semendria and other important towns, and there are several smaller railways in the valleys of the Save, the Danube, the Servian Morava and their tributaries. Apart from country lanes and footpaths, there are three classes of highways, controlled, respectively, by the nation, department and commune. Construction and repairs are, in theory, carried out by compulsory labour; but this right is seldom enforced. Even in the Shumadia, where materials are plentiful, the roads rapidly give way under heavy traffic, or after bad weather; in the Machva, Podrinye and remoter districts, they are often impassable. The Constantinople and Salonica roads remain the best in Servia. Besides the frontier streams on the north and west, the only river of any importance for navigation is the Morava, which is navigable by steamers of light draught as high as Chupriya, about 60 m. from its mouth.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postal system dates from 1820, when an organized system of couriers was established, for state correspondence only. From 1843 in 1868 the Servian government undertook the carriage of letters in Servia itself, while the Austro-Hungarian consulate in Belgrade forwarded correspondence to and from central and western Europe. In 1868 the whole business of posting was taken over by the state; post offices are also maintained by many communes, and a few are itinerant. Servia joined the International Telegraphic Union in 1866, the Postal Union in 1874. The first telegraph line was con</w:t>
        <w:softHyphen/>
        <w:t>structed as early as 1855; telegrams between Constantinople, Sofia, Budapest and Vienna pass over lines constructed by the Servian government (under conventions with Austria-Hungary and Turkey) in 1899 and 1906. The telephone service, inaugurated in 1900, is a state monopoly (both for construction and operation).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With a continuous excess of births over deaths, and of male over female children, the population of Servia rose from 2,161,961 in 1890 to 2,493,770 in 1900, and to about 2,750,000 in 1910. More than four-fifths of this number belong to the Serbo-Croatian branch of the Slavonic race; while the remainder is composed of about 160,000 Rumans, 47,000 gipsies, 8000 Austro-Hungarians and Germans, and 5ooo Jews. Many Servian emigrants returned, after 1878, to the territories which the Treaty of Berlin restored to their country. These territories had been occupied, under Turkish rule, by Albanians, west of the Morava, and by Bulgarians, along the Nishava; but, after 1878, the Albanians withdrew, and the Bulgarians were absorbed. The Rumans reside principally in the north-east, near the borders of their native land, and are peasant farmers, like the Serbs. The gipsies occasionally settle down, forming separate camps or villages, but in most cases they prefer a wandering life. They are often admirable artisans and musicians, almost every town possessing a gipsy band. The Germans and Austro- Hungarians control a large share of the commerce of the country; the Jews, as elsewhere in the Balkans, are retail traders. Anti- Semitism is not prevalent in Servia, owing to the smallness of the Jewish communities. The stature and features of the Serbs vary in different regions; but the northern peasantry are generally fairer and shorter than the mountaineers of the south. Those of the Shumadia are blue-eyed or grey-eyed. In many parts the prevailing types have been modified by intermarriage with Bulgars, Albanians and Vlachs; so that, along the Timok, for instance, it is impossible to make physiognomy a test of nationality. Even language does not afford a sure criterion, so nearly akin are many spoken dialects of Servian and Bulgarian.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National Characteristics.—</w:t>
      </w:r>
      <w:r>
        <w:rPr>
          <w:rFonts w:ascii="Times New Roman" w:eastAsia="Times New Roman" w:hAnsi="Times New Roman" w:cs="Times New Roman"/>
          <w:color w:val="000000"/>
          <w:spacing w:val="0"/>
          <w:w w:val="100"/>
          <w:position w:val="0"/>
          <w:shd w:val="clear" w:color="auto" w:fill="auto"/>
          <w:lang w:val="en-US" w:eastAsia="en-US" w:bidi="en-US"/>
        </w:rPr>
        <w:t>Servia is a land without aristocracy or middle class. Instead, it possesses an army of placemen 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officials; but these being mainly recruited from the peasantry, do not disturb the prevailing social equality. In 1900 there was neither pauper nor workhouse in the country. The people, less thrifty and industrious than the Bulgars, less martial than the Montenegrins, less versatile and intellectual than the Rumans, value comfort far more highly than progress. A moderate amount of work enables them to live well enough, and to pass their evenings at the village wine-shop; although, being a sober race, they meet there rather to discuss politics than to drink. Of politics they never tire; and still greater is their devotion to music, poetry and dancing. Perhaps their most characteristic dance is the </w:t>
      </w:r>
      <w:r>
        <w:rPr>
          <w:rFonts w:ascii="Times New Roman" w:eastAsia="Times New Roman" w:hAnsi="Times New Roman" w:cs="Times New Roman"/>
          <w:i/>
          <w:iCs/>
          <w:color w:val="000000"/>
          <w:spacing w:val="0"/>
          <w:w w:val="100"/>
          <w:position w:val="0"/>
          <w:shd w:val="clear" w:color="auto" w:fill="auto"/>
          <w:lang w:val="en-US" w:eastAsia="en-US" w:bidi="en-US"/>
        </w:rPr>
        <w:t>kolo,</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performed by as many as 100 men and women, in a single serpentine line. Their national instru- ment, the </w:t>
      </w:r>
      <w:r>
        <w:rPr>
          <w:rFonts w:ascii="Times New Roman" w:eastAsia="Times New Roman" w:hAnsi="Times New Roman" w:cs="Times New Roman"/>
          <w:i/>
          <w:iCs/>
          <w:color w:val="000000"/>
          <w:spacing w:val="0"/>
          <w:w w:val="100"/>
          <w:position w:val="0"/>
          <w:shd w:val="clear" w:color="auto" w:fill="auto"/>
          <w:lang w:val="en-US" w:eastAsia="en-US" w:bidi="en-US"/>
        </w:rPr>
        <w:t>gusle</w:t>
      </w:r>
      <w:r>
        <w:rPr>
          <w:rFonts w:ascii="Times New Roman" w:eastAsia="Times New Roman" w:hAnsi="Times New Roman" w:cs="Times New Roman"/>
          <w:color w:val="000000"/>
          <w:spacing w:val="0"/>
          <w:w w:val="100"/>
          <w:position w:val="0"/>
          <w:shd w:val="clear" w:color="auto" w:fill="auto"/>
          <w:lang w:val="en-US" w:eastAsia="en-US" w:bidi="en-US"/>
        </w:rPr>
        <w:t xml:space="preserve"> (gusla), is a single-stringed fiddle, often roughly fashioned of wood and ox-hide, the bow being strung with horse</w:t>
        <w:softHyphen/>
        <w:t xml:space="preserve">hair. All classes delight in hearing or intoning the endless romances which celebrate the feats of their national heroes; for every true Serb lives as much in the past as in the present, and medieval wars still constantly furnish themes of new legends and ballads. It is largely this enthusiasm for the past which keeps alive the desire for a reunion of the whole race, in another Servian Empire, like that overthrown by the Turks in 1389. The fasts of the Orthodox Church are strictly kept; while the festivals, which are hardly less numerous, are celebrated even by the Servian Moslems. As in Bulgaria and Rumania,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slava, </w:t>
      </w:r>
      <w:r>
        <w:rPr>
          <w:rFonts w:ascii="Times New Roman" w:eastAsia="Times New Roman" w:hAnsi="Times New Roman" w:cs="Times New Roman"/>
          <w:color w:val="000000"/>
          <w:spacing w:val="0"/>
          <w:w w:val="100"/>
          <w:position w:val="0"/>
          <w:shd w:val="clear" w:color="auto" w:fill="auto"/>
          <w:lang w:val="en-US" w:eastAsia="en-US" w:bidi="en-US"/>
        </w:rPr>
        <w:t>or patron saint’s day, is set aside for rejoicing. A Servian crowd at a festival presents a medley of brilliant and picturesque costumes, scarlet being the favourite colour. Men wear a long smock of homespun linen, beneath red or blue waistcoats with trousers of white frieze. The women’s dress consists of a similar smock, a “ zouave ” jacket of embroidered velvet and two brightly coloured aprons tied over a white skirt, one in front and one behind. The head-dress is a small red cap, tambourine</w:t>
        <w:softHyphen/>
        <w:t xml:space="preserve">shaped, and strings of coins are coiled in the hair, or worn as necklaces and bracelets. In this manner a farmer’s wife will often decorate herself with her entire dowry. During the cold months, both sexes wrap themselves in thick woollen coats or sheepskins, with the fleece inwards; both are also shod with corded sandals, called </w:t>
      </w:r>
      <w:r>
        <w:rPr>
          <w:rFonts w:ascii="Times New Roman" w:eastAsia="Times New Roman" w:hAnsi="Times New Roman" w:cs="Times New Roman"/>
          <w:i/>
          <w:iCs/>
          <w:color w:val="000000"/>
          <w:spacing w:val="0"/>
          <w:w w:val="100"/>
          <w:position w:val="0"/>
          <w:shd w:val="clear" w:color="auto" w:fill="auto"/>
          <w:lang w:val="en-US" w:eastAsia="en-US" w:bidi="en-US"/>
        </w:rPr>
        <w:t>opanke.</w:t>
      </w:r>
      <w:r>
        <w:rPr>
          <w:rFonts w:ascii="Times New Roman" w:eastAsia="Times New Roman" w:hAnsi="Times New Roman" w:cs="Times New Roman"/>
          <w:color w:val="000000"/>
          <w:spacing w:val="0"/>
          <w:w w:val="100"/>
          <w:position w:val="0"/>
          <w:shd w:val="clear" w:color="auto" w:fill="auto"/>
          <w:lang w:val="en-US" w:eastAsia="en-US" w:bidi="en-US"/>
        </w:rPr>
        <w:t xml:space="preserve"> The Rumanian women retain their native costume, and are further distinguished by the wooden cradles, slung over the shoulders, in which they carry their infants ; the Servian mothers prefer a canvas bag. Women weave most of the garments and linen for their families, besides sharing in every kind of manual labour. Turkish ideas prevail about their social position; but so highly valued are their services, that parents are often unwilling to see their daughters marry; and wives are in many cases older than their husbands. The relationship called </w:t>
      </w:r>
      <w:r>
        <w:rPr>
          <w:rFonts w:ascii="Times New Roman" w:eastAsia="Times New Roman" w:hAnsi="Times New Roman" w:cs="Times New Roman"/>
          <w:i/>
          <w:iCs/>
          <w:color w:val="000000"/>
          <w:spacing w:val="0"/>
          <w:w w:val="100"/>
          <w:position w:val="0"/>
          <w:shd w:val="clear" w:color="auto" w:fill="auto"/>
          <w:lang w:val="en-US" w:eastAsia="en-US" w:bidi="en-US"/>
        </w:rPr>
        <w:t>pobratimstvo</w:t>
      </w:r>
      <w:r>
        <w:rPr>
          <w:rFonts w:ascii="Times New Roman" w:eastAsia="Times New Roman" w:hAnsi="Times New Roman" w:cs="Times New Roman"/>
          <w:color w:val="000000"/>
          <w:spacing w:val="0"/>
          <w:w w:val="100"/>
          <w:position w:val="0"/>
          <w:shd w:val="clear" w:color="auto" w:fill="auto"/>
          <w:lang w:val="en-US" w:eastAsia="en-US" w:bidi="en-US"/>
        </w:rPr>
        <w:t xml:space="preserve"> is only less common than in Montenegro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equally binding is </w:t>
      </w:r>
      <w:r>
        <w:rPr>
          <w:rFonts w:ascii="Times New Roman" w:eastAsia="Times New Roman" w:hAnsi="Times New Roman" w:cs="Times New Roman"/>
          <w:i/>
          <w:iCs/>
          <w:color w:val="000000"/>
          <w:spacing w:val="0"/>
          <w:w w:val="100"/>
          <w:position w:val="0"/>
          <w:shd w:val="clear" w:color="auto" w:fill="auto"/>
          <w:lang w:val="en-US" w:eastAsia="en-US" w:bidi="en-US"/>
        </w:rPr>
        <w:t>kumstvo,</w:t>
      </w:r>
      <w:r>
        <w:rPr>
          <w:rFonts w:ascii="Times New Roman" w:eastAsia="Times New Roman" w:hAnsi="Times New Roman" w:cs="Times New Roman"/>
          <w:color w:val="000000"/>
          <w:spacing w:val="0"/>
          <w:w w:val="100"/>
          <w:position w:val="0"/>
          <w:shd w:val="clear" w:color="auto" w:fill="auto"/>
          <w:lang w:val="en-US" w:eastAsia="en-US" w:bidi="en-US"/>
        </w:rPr>
        <w:t xml:space="preserve"> or sponsorship,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relation subsisting between the “ best man ” and the bridegroom at a wedding, or between godparents and god- children. Persons connected by </w:t>
      </w:r>
      <w:r>
        <w:rPr>
          <w:rFonts w:ascii="Times New Roman" w:eastAsia="Times New Roman" w:hAnsi="Times New Roman" w:cs="Times New Roman"/>
          <w:i/>
          <w:iCs/>
          <w:color w:val="000000"/>
          <w:spacing w:val="0"/>
          <w:w w:val="100"/>
          <w:position w:val="0"/>
          <w:shd w:val="clear" w:color="auto" w:fill="auto"/>
          <w:lang w:val="en-US" w:eastAsia="en-US" w:bidi="en-US"/>
        </w:rPr>
        <w:t>kumstvo, pobratimstvo,</w:t>
      </w:r>
      <w:r>
        <w:rPr>
          <w:rFonts w:ascii="Times New Roman" w:eastAsia="Times New Roman" w:hAnsi="Times New Roman" w:cs="Times New Roman"/>
          <w:color w:val="000000"/>
          <w:spacing w:val="0"/>
          <w:w w:val="100"/>
          <w:position w:val="0"/>
          <w:shd w:val="clear" w:color="auto" w:fill="auto"/>
          <w:lang w:val="en-US" w:eastAsia="en-US" w:bidi="en-US"/>
        </w:rPr>
        <w:t xml:space="preserve"> or cousinship, however distant, may not marry. At a funeral, the coffin is left open until the last moment—a custom found every</w:t>
        <w:softHyphen/>
        <w:t>where in the Balkans, and said to have been introduced by the Turks, who found that coffins were a convenient hiding-place for arms. The same practice is, however, common in Spain and Portugal. Few countries are richer than Servia in myth and folklore. The peasants believe in charms and omens, in vam</w:t>
        <w:softHyphen/>
        <w:t xml:space="preserve">pires, were-wolves, ghosts, the evil eye and </w:t>
      </w:r>
      <w:r>
        <w:rPr>
          <w:rFonts w:ascii="Times New Roman" w:eastAsia="Times New Roman" w:hAnsi="Times New Roman" w:cs="Times New Roman"/>
          <w:i/>
          <w:iCs/>
          <w:color w:val="000000"/>
          <w:spacing w:val="0"/>
          <w:w w:val="100"/>
          <w:position w:val="0"/>
          <w:shd w:val="clear" w:color="auto" w:fill="auto"/>
          <w:lang w:val="en-US" w:eastAsia="en-US" w:bidi="en-US"/>
        </w:rPr>
        <w:t>vile</w:t>
      </w:r>
      <w:r>
        <w:rPr>
          <w:rFonts w:ascii="Times New Roman" w:eastAsia="Times New Roman" w:hAnsi="Times New Roman" w:cs="Times New Roman"/>
          <w:color w:val="000000"/>
          <w:spacing w:val="0"/>
          <w:w w:val="100"/>
          <w:position w:val="0"/>
          <w:shd w:val="clear" w:color="auto" w:fill="auto"/>
          <w:lang w:val="en-US" w:eastAsia="en-US" w:bidi="en-US"/>
        </w:rPr>
        <w:t xml:space="preserve"> or white-robed spirits of the earth, air, stream and mountain, with hoofs like a goat and henna-dyed nails and hair. Even at the beginning of the 2oth century, education had done little to dispel such superstitions.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Constitution and Government.—</w:t>
      </w:r>
      <w:r>
        <w:rPr>
          <w:rFonts w:ascii="Times New Roman" w:eastAsia="Times New Roman" w:hAnsi="Times New Roman" w:cs="Times New Roman"/>
          <w:color w:val="000000"/>
          <w:spacing w:val="0"/>
          <w:w w:val="100"/>
          <w:position w:val="0"/>
          <w:shd w:val="clear" w:color="auto" w:fill="auto"/>
          <w:lang w:val="en-US" w:eastAsia="en-US" w:bidi="en-US"/>
        </w:rPr>
        <w:t>In 1903, after the murder of King Alexander Obrenovich, and the accession of Peter Kara- georgevich, the constitution of 1889 was revived. By this instrument the government of Servia is an independent constitu</w:t>
        <w:softHyphen/>
        <w:t>tional monarchy, hereditary in the male line, and in the order of primogeniture. The executive power is vested in the king, advised by a cabinet of eight members, who are collectively and individually responsible to the nation, and represent the</w:t>
      </w:r>
    </w:p>
    <w:sectPr>
      <w:footnotePr>
        <w:pos w:val="pageBottom"/>
        <w:numFmt w:val="decimal"/>
        <w:numRestart w:val="continuous"/>
      </w:footnotePr>
      <w:pgSz w:w="12240" w:h="15840"/>
      <w:pgMar w:top="840" w:left="1081" w:right="795" w:bottom="6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