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appointed, </w:t>
      </w:r>
      <w:r>
        <w:rPr>
          <w:rFonts w:ascii="Times New Roman" w:eastAsia="Times New Roman" w:hAnsi="Times New Roman" w:cs="Times New Roman"/>
          <w:i/>
          <w:iCs/>
          <w:color w:val="000000"/>
          <w:spacing w:val="0"/>
          <w:w w:val="100"/>
          <w:position w:val="0"/>
          <w:shd w:val="clear" w:color="auto" w:fill="auto"/>
          <w:lang w:val="en-US" w:eastAsia="en-US" w:bidi="en-US"/>
        </w:rPr>
        <w:t>shäth,</w:t>
      </w:r>
      <w:r>
        <w:rPr>
          <w:rFonts w:ascii="Times New Roman" w:eastAsia="Times New Roman" w:hAnsi="Times New Roman" w:cs="Times New Roman"/>
          <w:color w:val="000000"/>
          <w:spacing w:val="0"/>
          <w:w w:val="100"/>
          <w:position w:val="0"/>
          <w:shd w:val="clear" w:color="auto" w:fill="auto"/>
          <w:lang w:val="en-US" w:eastAsia="en-US" w:bidi="en-US"/>
        </w:rPr>
        <w:t xml:space="preserve"> me another seed instead of Abel.” It is further said that after Enos was born, men began to worship Yahweh. Apparently Gen. iv. 25, 26 had no original connexion with J.</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story of the creation, which speaks of Yahweh freely from the outset. As Enos is a Hebrew word for man, it is probably derived from a tradition in which Enos was the first man. An examin- ation of the Sethite genealogy, vv. 12-27, </w:t>
      </w:r>
      <w:r>
        <w:rPr>
          <w:rFonts w:ascii="Times New Roman" w:eastAsia="Times New Roman" w:hAnsi="Times New Roman" w:cs="Times New Roman"/>
          <w:i/>
          <w:iCs/>
          <w:color w:val="000000"/>
          <w:spacing w:val="0"/>
          <w:w w:val="100"/>
          <w:position w:val="0"/>
          <w:shd w:val="clear" w:color="auto" w:fill="auto"/>
          <w:lang w:val="en-US" w:eastAsia="en-US" w:bidi="en-US"/>
        </w:rPr>
        <w:t>Kenan, Mahalalel, Jared, Enoch, Methuselah, Lamech,</w:t>
      </w:r>
      <w:r>
        <w:rPr>
          <w:rFonts w:ascii="Times New Roman" w:eastAsia="Times New Roman" w:hAnsi="Times New Roman" w:cs="Times New Roman"/>
          <w:color w:val="000000"/>
          <w:spacing w:val="0"/>
          <w:w w:val="100"/>
          <w:position w:val="0"/>
          <w:shd w:val="clear" w:color="auto" w:fill="auto"/>
          <w:lang w:val="en-US" w:eastAsia="en-US" w:bidi="en-US"/>
        </w:rPr>
        <w:t xml:space="preserve"> shows that it is a slightly different version of the Cainite genealogy, iv. 17-18, </w:t>
      </w:r>
      <w:r>
        <w:rPr>
          <w:rFonts w:ascii="Times New Roman" w:eastAsia="Times New Roman" w:hAnsi="Times New Roman" w:cs="Times New Roman"/>
          <w:i/>
          <w:iCs/>
          <w:color w:val="000000"/>
          <w:spacing w:val="0"/>
          <w:w w:val="100"/>
          <w:position w:val="0"/>
          <w:shd w:val="clear" w:color="auto" w:fill="auto"/>
          <w:lang w:val="en-US" w:eastAsia="en-US" w:bidi="en-US"/>
        </w:rPr>
        <w:t>Cain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hd w:val="clear" w:color="auto" w:fill="auto"/>
          <w:lang w:val="en-US" w:eastAsia="en-US" w:bidi="en-US"/>
        </w:rPr>
        <w:t>Kayin), Enoch, Irad, Mehujael, Melhusael, Lamech.</w:t>
      </w:r>
      <w:r>
        <w:rPr>
          <w:rFonts w:ascii="Times New Roman" w:eastAsia="Times New Roman" w:hAnsi="Times New Roman" w:cs="Times New Roman"/>
          <w:color w:val="000000"/>
          <w:spacing w:val="0"/>
          <w:w w:val="100"/>
          <w:position w:val="0"/>
          <w:shd w:val="clear" w:color="auto" w:fill="auto"/>
          <w:lang w:val="en-US" w:eastAsia="en-US" w:bidi="en-US"/>
        </w:rPr>
        <w:t xml:space="preserve"> Seth is named in the opening genealogy of Chronicles, 1 Chron. i. 1, and in Luke’s genealogy of Christ, Luke iii. 38. The Hebrew text of Ecclesiasticus xlix. 16 has “And Shem and Seth and Enosh were visited,”—probably with divine favour; the Greek version runs, “ Shem and Seth were glorified among men.’’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Num. xxiv. 17, the Authorized Version has “ the children of Sheth ” in a list of nations; the Hebrew is the same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Seth </w:t>
      </w:r>
      <w:r>
        <w:rPr>
          <w:rFonts w:ascii="Times New Roman" w:eastAsia="Times New Roman" w:hAnsi="Times New Roman" w:cs="Times New Roman"/>
          <w:color w:val="000000"/>
          <w:spacing w:val="0"/>
          <w:w w:val="100"/>
          <w:position w:val="0"/>
          <w:shd w:val="clear" w:color="auto" w:fill="auto"/>
          <w:lang w:val="en-US" w:eastAsia="en-US" w:bidi="en-US"/>
        </w:rPr>
        <w:t xml:space="preserve">in Genesis. The passage may perhaps indicate that Seth was originally the name of a tribe. The “ Seth ” of Numbers is sometimes identified with the Bedouin, who appear as </w:t>
      </w:r>
      <w:r>
        <w:rPr>
          <w:rFonts w:ascii="Times New Roman" w:eastAsia="Times New Roman" w:hAnsi="Times New Roman" w:cs="Times New Roman"/>
          <w:i/>
          <w:iCs/>
          <w:color w:val="000000"/>
          <w:spacing w:val="0"/>
          <w:w w:val="100"/>
          <w:position w:val="0"/>
          <w:shd w:val="clear" w:color="auto" w:fill="auto"/>
          <w:lang w:val="en-US" w:eastAsia="en-US" w:bidi="en-US"/>
        </w:rPr>
        <w:t>Sutu</w:t>
      </w:r>
      <w:r>
        <w:rPr>
          <w:rFonts w:ascii="Times New Roman" w:eastAsia="Times New Roman" w:hAnsi="Times New Roman" w:cs="Times New Roman"/>
          <w:color w:val="000000"/>
          <w:spacing w:val="0"/>
          <w:w w:val="100"/>
          <w:position w:val="0"/>
          <w:shd w:val="clear" w:color="auto" w:fill="auto"/>
          <w:lang w:val="en-US" w:eastAsia="en-US" w:bidi="en-US"/>
        </w:rPr>
        <w:t xml:space="preserve"> in Assyrian and Babylonian inscriptions. But the Revised Version takes the word </w:t>
      </w:r>
      <w:r>
        <w:rPr>
          <w:rFonts w:ascii="Times New Roman" w:eastAsia="Times New Roman" w:hAnsi="Times New Roman" w:cs="Times New Roman"/>
          <w:i/>
          <w:iCs/>
          <w:color w:val="000000"/>
          <w:spacing w:val="0"/>
          <w:w w:val="100"/>
          <w:position w:val="0"/>
          <w:shd w:val="clear" w:color="auto" w:fill="auto"/>
          <w:lang w:val="en-US" w:eastAsia="en-US" w:bidi="en-US"/>
        </w:rPr>
        <w:t>shēth</w:t>
      </w:r>
      <w:r>
        <w:rPr>
          <w:rFonts w:ascii="Times New Roman" w:eastAsia="Times New Roman" w:hAnsi="Times New Roman" w:cs="Times New Roman"/>
          <w:color w:val="000000"/>
          <w:spacing w:val="0"/>
          <w:w w:val="100"/>
          <w:position w:val="0"/>
          <w:shd w:val="clear" w:color="auto" w:fill="auto"/>
          <w:lang w:val="en-US" w:eastAsia="en-US" w:bidi="en-US"/>
        </w:rPr>
        <w:t xml:space="preserve"> as a common noun, “ tumult,” and others interpret it as “pride ”; cf. Gray’s </w:t>
      </w:r>
      <w:r>
        <w:rPr>
          <w:rFonts w:ascii="Times New Roman" w:eastAsia="Times New Roman" w:hAnsi="Times New Roman" w:cs="Times New Roman"/>
          <w:i/>
          <w:iCs/>
          <w:color w:val="000000"/>
          <w:spacing w:val="0"/>
          <w:w w:val="100"/>
          <w:position w:val="0"/>
          <w:shd w:val="clear" w:color="auto" w:fill="auto"/>
          <w:lang w:val="en-US" w:eastAsia="en-US" w:bidi="en-US"/>
        </w:rPr>
        <w:t>Numbers,</w:t>
      </w:r>
      <w:r>
        <w:rPr>
          <w:rFonts w:ascii="Times New Roman" w:eastAsia="Times New Roman" w:hAnsi="Times New Roman" w:cs="Times New Roman"/>
          <w:color w:val="000000"/>
          <w:spacing w:val="0"/>
          <w:w w:val="100"/>
          <w:position w:val="0"/>
          <w:shd w:val="clear" w:color="auto" w:fill="auto"/>
          <w:lang w:val="en-US" w:eastAsia="en-US" w:bidi="en-US"/>
        </w:rPr>
        <w:t xml:space="preserve"> p. 371.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ten patriarchs of Gen. v. (see </w:t>
      </w:r>
      <w:r>
        <w:rPr>
          <w:rFonts w:ascii="Times New Roman" w:eastAsia="Times New Roman" w:hAnsi="Times New Roman" w:cs="Times New Roman"/>
          <w:smallCaps/>
          <w:color w:val="000000"/>
          <w:spacing w:val="0"/>
          <w:w w:val="100"/>
          <w:position w:val="0"/>
          <w:shd w:val="clear" w:color="auto" w:fill="auto"/>
          <w:lang w:val="en-US" w:eastAsia="en-US" w:bidi="en-US"/>
        </w:rPr>
        <w:t>Noah)</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 to the ten primitive kings of Babylon, Seth, as second, will correspond with the Adapa of the Babylonian inscriptions, the Alaparos or Adaparos of Berosus. The two have been compared in that Adapa was demiurge and Logos; and Seth figures as the Messiah in later Jewish tradition.@@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We may also note the resemblance between the names Sheth, </w:t>
      </w:r>
      <w:r>
        <w:rPr>
          <w:rFonts w:ascii="Times New Roman" w:eastAsia="Times New Roman" w:hAnsi="Times New Roman" w:cs="Times New Roman"/>
          <w:i/>
          <w:iCs/>
          <w:color w:val="000000"/>
          <w:spacing w:val="0"/>
          <w:w w:val="100"/>
          <w:position w:val="0"/>
          <w:shd w:val="clear" w:color="auto" w:fill="auto"/>
          <w:lang w:val="en-US" w:eastAsia="en-US" w:bidi="en-US"/>
        </w:rPr>
        <w:t>Set,</w:t>
      </w:r>
      <w:r>
        <w:rPr>
          <w:rFonts w:ascii="Times New Roman" w:eastAsia="Times New Roman" w:hAnsi="Times New Roman" w:cs="Times New Roman"/>
          <w:color w:val="000000"/>
          <w:spacing w:val="0"/>
          <w:w w:val="100"/>
          <w:position w:val="0"/>
          <w:shd w:val="clear" w:color="auto" w:fill="auto"/>
          <w:lang w:val="en-US" w:eastAsia="en-US" w:bidi="en-US"/>
        </w:rPr>
        <w:t xml:space="preserve"> the Egyptian god of war, and the </w:t>
      </w:r>
      <w:r>
        <w:rPr>
          <w:rFonts w:ascii="Times New Roman" w:eastAsia="Times New Roman" w:hAnsi="Times New Roman" w:cs="Times New Roman"/>
          <w:color w:val="000000"/>
          <w:spacing w:val="0"/>
          <w:w w:val="100"/>
          <w:position w:val="0"/>
          <w:shd w:val="clear" w:color="auto" w:fill="auto"/>
          <w:lang w:val="fr-FR" w:eastAsia="fr-FR" w:bidi="fr-FR"/>
        </w:rPr>
        <w:t xml:space="preserve">Hittite </w:t>
      </w:r>
      <w:r>
        <w:rPr>
          <w:rFonts w:ascii="Times New Roman" w:eastAsia="Times New Roman" w:hAnsi="Times New Roman" w:cs="Times New Roman"/>
          <w:color w:val="000000"/>
          <w:spacing w:val="0"/>
          <w:w w:val="100"/>
          <w:position w:val="0"/>
          <w:shd w:val="clear" w:color="auto" w:fill="auto"/>
          <w:lang w:val="en-US" w:eastAsia="en-US" w:bidi="en-US"/>
        </w:rPr>
        <w:t xml:space="preserve">deity </w:t>
      </w:r>
      <w:r>
        <w:rPr>
          <w:rFonts w:ascii="Times New Roman" w:eastAsia="Times New Roman" w:hAnsi="Times New Roman" w:cs="Times New Roman"/>
          <w:i/>
          <w:iCs/>
          <w:color w:val="000000"/>
          <w:spacing w:val="0"/>
          <w:w w:val="100"/>
          <w:position w:val="0"/>
          <w:shd w:val="clear" w:color="auto" w:fill="auto"/>
          <w:lang w:val="en-US" w:eastAsia="en-US" w:bidi="en-US"/>
        </w:rPr>
        <w:t>Suteh.</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has been supposed to be a Hyksos or Semitic deity and to have some connexion with Sheth; but Cheyne and Müller reject this view.@@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Seth is also identified with Moab or the land of Moab.@@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tabs>
          <w:tab w:pos="3929"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mass of Christian and Jewish tradition has gathered round the name of Seth. Philo,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posteriori Caini,</w:t>
      </w:r>
      <w:r>
        <w:rPr>
          <w:rFonts w:ascii="Times New Roman" w:eastAsia="Times New Roman" w:hAnsi="Times New Roman" w:cs="Times New Roman"/>
          <w:color w:val="000000"/>
          <w:spacing w:val="0"/>
          <w:w w:val="100"/>
          <w:position w:val="0"/>
          <w:shd w:val="clear" w:color="auto" w:fill="auto"/>
          <w:lang w:val="en-US" w:eastAsia="en-US" w:bidi="en-US"/>
        </w:rPr>
        <w:t xml:space="preserve"> § 3, explains the name as meaning </w:t>
      </w:r>
      <w:r>
        <w:rPr>
          <w:rFonts w:ascii="Times New Roman" w:eastAsia="Times New Roman" w:hAnsi="Times New Roman" w:cs="Times New Roman"/>
          <w:i/>
          <w:iCs/>
          <w:color w:val="000000"/>
          <w:spacing w:val="0"/>
          <w:w w:val="100"/>
          <w:position w:val="0"/>
          <w:shd w:val="clear" w:color="auto" w:fill="auto"/>
          <w:lang w:val="en-US" w:eastAsia="en-US" w:bidi="en-US"/>
        </w:rPr>
        <w:t>ποτισμδs, "</w:t>
      </w:r>
      <w:r>
        <w:rPr>
          <w:rFonts w:ascii="Times New Roman" w:eastAsia="Times New Roman" w:hAnsi="Times New Roman" w:cs="Times New Roman"/>
          <w:color w:val="000000"/>
          <w:spacing w:val="0"/>
          <w:w w:val="100"/>
          <w:position w:val="0"/>
          <w:shd w:val="clear" w:color="auto" w:fill="auto"/>
          <w:lang w:val="en-US" w:eastAsia="en-US" w:bidi="en-US"/>
        </w:rPr>
        <w:t xml:space="preserve">watering ” or “ irrigation," connecting it with the Hebrew root </w:t>
      </w:r>
      <w:r>
        <w:rPr>
          <w:rFonts w:ascii="Times New Roman" w:eastAsia="Times New Roman" w:hAnsi="Times New Roman" w:cs="Times New Roman"/>
          <w:i/>
          <w:iCs/>
          <w:color w:val="000000"/>
          <w:spacing w:val="0"/>
          <w:w w:val="100"/>
          <w:position w:val="0"/>
          <w:shd w:val="clear" w:color="auto" w:fill="auto"/>
          <w:lang w:val="de-DE" w:eastAsia="de-DE" w:bidi="de-DE"/>
        </w:rPr>
        <w:t xml:space="preserve">Sh </w:t>
      </w:r>
      <w:r>
        <w:rPr>
          <w:rFonts w:ascii="Times New Roman" w:eastAsia="Times New Roman" w:hAnsi="Times New Roman" w:cs="Times New Roman"/>
          <w:i/>
          <w:iCs/>
          <w:color w:val="000000"/>
          <w:spacing w:val="0"/>
          <w:w w:val="100"/>
          <w:position w:val="0"/>
          <w:shd w:val="clear" w:color="auto" w:fill="auto"/>
          <w:lang w:val="fr-FR" w:eastAsia="fr-FR" w:bidi="fr-FR"/>
        </w:rPr>
        <w:t xml:space="preserve">Th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Josephus,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I. ii. 3, tells us that Seth was a virtuous man, and that his descendants lived in perfect harmony and happiness. They discovered astronomy, and inscribed their discoveries on two pillars, one of which, says Josephus, survived in his time. In the </w:t>
      </w:r>
      <w:r>
        <w:rPr>
          <w:rFonts w:ascii="Times New Roman" w:eastAsia="Times New Roman" w:hAnsi="Times New Roman" w:cs="Times New Roman"/>
          <w:i/>
          <w:iCs/>
          <w:color w:val="000000"/>
          <w:spacing w:val="0"/>
          <w:w w:val="100"/>
          <w:position w:val="0"/>
          <w:shd w:val="clear" w:color="auto" w:fill="auto"/>
          <w:lang w:val="en-US" w:eastAsia="en-US" w:bidi="en-US"/>
        </w:rPr>
        <w:t>Book of Jubilees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Seth’s wife is given as Azura. In the Ascension of Isaiah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Seth is seen in heaven. In the Book of Adam and Eve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500-900) Seth is described as perfectly beautiful, like Adam, only more beautiful. Seth was the last child born to Adam; he grew in stature and strength, and began to fast and pray strenuously. A Gnostic sect took the name Sethians.</w:t>
        <w:tab/>
        <w:t xml:space="preserve">(W. H. </w:t>
      </w:r>
      <w:r>
        <w:rPr>
          <w:rFonts w:ascii="Times New Roman" w:eastAsia="Times New Roman" w:hAnsi="Times New Roman" w:cs="Times New Roman"/>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SETIA (mod. </w:t>
      </w:r>
      <w:r>
        <w:rPr>
          <w:rFonts w:ascii="Times New Roman" w:eastAsia="Times New Roman" w:hAnsi="Times New Roman" w:cs="Times New Roman"/>
          <w:i/>
          <w:iCs/>
          <w:color w:val="000000"/>
          <w:spacing w:val="0"/>
          <w:w w:val="100"/>
          <w:position w:val="0"/>
          <w:shd w:val="clear" w:color="auto" w:fill="auto"/>
          <w:lang w:val="en-US" w:eastAsia="en-US" w:bidi="en-US"/>
        </w:rPr>
        <w:t>Sezze, 52</w:t>
      </w:r>
      <w:r>
        <w:rPr>
          <w:rFonts w:ascii="Times New Roman" w:eastAsia="Times New Roman" w:hAnsi="Times New Roman" w:cs="Times New Roman"/>
          <w:color w:val="000000"/>
          <w:spacing w:val="0"/>
          <w:w w:val="100"/>
          <w:position w:val="0"/>
          <w:shd w:val="clear" w:color="auto" w:fill="auto"/>
          <w:lang w:val="en-US" w:eastAsia="en-US" w:bidi="en-US"/>
        </w:rPr>
        <w:t xml:space="preserve"> m. by rail S.E. of Rome), an ancient town of </w:t>
      </w:r>
      <w:r>
        <w:rPr>
          <w:rFonts w:ascii="Times New Roman" w:eastAsia="Times New Roman" w:hAnsi="Times New Roman" w:cs="Times New Roman"/>
          <w:color w:val="000000"/>
          <w:spacing w:val="0"/>
          <w:w w:val="100"/>
          <w:position w:val="0"/>
          <w:shd w:val="clear" w:color="auto" w:fill="auto"/>
          <w:lang w:val="de-DE" w:eastAsia="de-DE" w:bidi="de-DE"/>
        </w:rPr>
        <w:t xml:space="preserve">Latium </w:t>
      </w:r>
      <w:r>
        <w:rPr>
          <w:rFonts w:ascii="Times New Roman" w:eastAsia="Times New Roman" w:hAnsi="Times New Roman" w:cs="Times New Roman"/>
          <w:color w:val="000000"/>
          <w:spacing w:val="0"/>
          <w:w w:val="100"/>
          <w:position w:val="0"/>
          <w:shd w:val="clear" w:color="auto" w:fill="auto"/>
          <w:lang w:val="en-US" w:eastAsia="en-US" w:bidi="en-US"/>
        </w:rPr>
        <w:t xml:space="preserve">(adjectum), Italy, on the south-west edge of the Volscian mountains, overlooking the Pomptine Marshes, 1047 ft. above sea-level, and over 90o ft. above the plain. It was an ancient Volscian town, a member of the Latin league of 499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which became a Latin colony in 382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owing to the strength of its position as a frontier fortress, is frequently mentioned in the military history of Rome up to the time of Sulla, by whom it was captured in 82 B.c. Under the empire it was well known for its wine, which Augustus preferred even to Falernian. Con</w:t>
        <w:softHyphen/>
        <w:t>siderable remains of the city walls exist, built of large blocks of limestone in the polygonal style. This style may also be seen in several terrace walls belonging to a later date, as is indicated by the careful jointing and bossing of the blocks of which they are composed. Such intentional archaism is by no means uncommon in the neighbourhood of Rome. The modern town, occupying the ancient site, is an episcopal see, with a much- restored 13th-century Gothic cathedral. Pop. (1901) 6944 (town), 10,827 (commune). At the foot of the hill on which the town stands are considerable remains of Roman villas. (T. 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SET-OFF, in law, a statutory defence to the whole or to a portion of a plaintiff’s claim. It had no existence under the English common law, being created by 2 Geo. II. c. 22 for the relief of insolvent debtors. Such a defence could be pleaded only in respect of mutual debts of a definite character, and did not apply to cases in which damages were claimed, nor to equitable claims or demands. By the rules of the Supreme Court </w:t>
      </w:r>
      <w:r>
        <w:rPr>
          <w:rFonts w:ascii="Times New Roman" w:eastAsia="Times New Roman" w:hAnsi="Times New Roman" w:cs="Times New Roman"/>
          <w:color w:val="000000"/>
          <w:spacing w:val="0"/>
          <w:w w:val="100"/>
          <w:position w:val="0"/>
          <w:shd w:val="clear" w:color="auto" w:fill="auto"/>
          <w:lang w:val="el-GR" w:eastAsia="el-GR" w:bidi="el-GR"/>
        </w:rPr>
        <w:t xml:space="preserve">(Ο. </w:t>
      </w:r>
      <w:r>
        <w:rPr>
          <w:rFonts w:ascii="Times New Roman" w:eastAsia="Times New Roman" w:hAnsi="Times New Roman" w:cs="Times New Roman"/>
          <w:color w:val="000000"/>
          <w:spacing w:val="0"/>
          <w:w w:val="100"/>
          <w:position w:val="0"/>
          <w:shd w:val="clear" w:color="auto" w:fill="auto"/>
          <w:lang w:val="en-US" w:eastAsia="en-US" w:bidi="en-US"/>
        </w:rPr>
        <w:t xml:space="preserve">XIX. 1. 3) a defendant in an action may set off or set up any right or claim by way of counterclaim against the claims of a plaintiff, and such set-off or counterclaim has the same effect as a statement of claim in a cross-action. (See </w:t>
      </w:r>
      <w:r>
        <w:rPr>
          <w:rFonts w:ascii="Times New Roman" w:eastAsia="Times New Roman" w:hAnsi="Times New Roman" w:cs="Times New Roman"/>
          <w:smallCaps/>
          <w:color w:val="000000"/>
          <w:spacing w:val="0"/>
          <w:w w:val="100"/>
          <w:position w:val="0"/>
          <w:shd w:val="clear" w:color="auto" w:fill="auto"/>
          <w:lang w:val="en-US" w:eastAsia="en-US" w:bidi="en-US"/>
        </w:rPr>
        <w:t>Pleading.)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architecture, the term set-off is given to the horizontal line shown where a wall is reduced in thickness, and consequently the part of the thicker portion appears projecting before the thinner. In plinths this is generally simply chamfered. In other parts of work the set-off is generally concealed by a pro- jecting string. Where, as in parapets, the upper part projects before the lower, the break is generally hid by a corbel table. The portions of buttress caps which recede one behind another are also called sets-off.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SETON </w:t>
      </w:r>
      <w:r>
        <w:rPr>
          <w:rFonts w:ascii="Times New Roman" w:eastAsia="Times New Roman" w:hAnsi="Times New Roman" w:cs="Times New Roman"/>
          <w:i/>
          <w:iCs/>
          <w:color w:val="000000"/>
          <w:spacing w:val="0"/>
          <w:w w:val="100"/>
          <w:position w:val="0"/>
          <w:shd w:val="clear" w:color="auto" w:fill="auto"/>
          <w:lang w:val="en-US" w:eastAsia="en-US" w:bidi="en-US"/>
        </w:rPr>
        <w:t>(Family).</w:t>
      </w:r>
      <w:r>
        <w:rPr>
          <w:rFonts w:ascii="Times New Roman" w:eastAsia="Times New Roman" w:hAnsi="Times New Roman" w:cs="Times New Roman"/>
          <w:color w:val="000000"/>
          <w:spacing w:val="0"/>
          <w:w w:val="100"/>
          <w:position w:val="0"/>
          <w:shd w:val="clear" w:color="auto" w:fill="auto"/>
          <w:lang w:val="en-US" w:eastAsia="en-US" w:bidi="en-US"/>
        </w:rPr>
        <w:t xml:space="preserve"> The Scottish family of Seton, Seyton or Seatoun, claims descent from a Dougall Seton who lived in the reign of Alexander I. Sir Richard Maitland of Lethington counted seven generations between this personage and Sir Christopher Seton (d. 1306), the first of the house who emerges in history with any distinctness, but these links are not all supported by documentary evidence. The name was derived from the Anglo-Norman family of Say, the Anglo-Norman immigrant being supposed to have given the name of Sey-toun to the lands granted to him in East Lothian. The family honours include the earldoms of Wintoun (cr. 16oo) and Dun- fermline; of Eglinton through marriage with the Montgomeries; and through alliance with a Gordon heiress a Seton became the ancestor of the earls and marquesses of Huntly and dukes of Gordon. The Setons were connected by marriage with the royal family of Scotland, and also with the Dunbars, Lindsays, Hays and Maitlands.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Sir Christopher Seton,</w:t>
      </w:r>
      <w:r>
        <w:rPr>
          <w:rFonts w:ascii="Times New Roman" w:eastAsia="Times New Roman" w:hAnsi="Times New Roman" w:cs="Times New Roman"/>
          <w:color w:val="000000"/>
          <w:spacing w:val="0"/>
          <w:w w:val="100"/>
          <w:position w:val="0"/>
          <w:shd w:val="clear" w:color="auto" w:fill="auto"/>
          <w:lang w:val="en-US" w:eastAsia="en-US" w:bidi="en-US"/>
        </w:rPr>
        <w:t xml:space="preserve"> son and heir of John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Seton, a Cumberland gentleman, and his wife Erminia Lascelles, was born probably in 1278, since his age is given in March 1299 as twenty-one, in an inquisition into the lands of his deceased father. He did homage for these in October of that year, and was in the service of Edward I. at Lochmaben in 1304. In 1305 he came into possession of lands which had been granted by Sir John Seton to Robert Bruce and his wife Christian, who was perhaps a Seton. He had married about 1301 Christian Bruce, sister of King Robert, who was possibly his second cousin. He was present at his brother-in-law’s coronation at Scone in 1306, and saved his life at the battle of Methven later in the same year. According to Dugdale he shut himself up in Loch- doon Castle in Ayrshire, and on the surrender of that castle was hanged as a traitor at Dumfries by order of Edward I. He left no heirs. His widow was in March 1307 in receipt of three pence a day from Edward I. for her support at the monastery of Sixhill in Lincolnshire. She was afterwards placed in the custody of Sir Thomas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Gray. His Cumberland estates, with the exception of his mother’s dower, were given to Robert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Clifford. Another Seton, John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Seton, described as having no lands or chattels, was hanged for helping in the defence of Tibbers Castle, and for aiding in the murder of John Cornyn, with other prisoners of war, at Newcastle in August 1306.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Sir Alexander Seton</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1360) was probably the brother of Sir Christopher. He received considerable grants of land from King Robert Bruce, and was one of the signatories of the letter addressed by the Scottish nobles to the pope to assert the independence of Scotland. He was twice sent on embassies to England, and in 1333 he defended the town of Berwick against the English. He agreed with the English to surrender the town on a certain date unless he received relief before that time, giving his eldest surviving son Thomas as a hostage. On the refusal of the Scots to surrender at the expiry of the term Thomas Seton was hanged in sight of the garrison. This incident is</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b/>
          <w:b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8"/>
          <w:szCs w:val="18"/>
          <w:shd w:val="clear" w:color="auto" w:fill="auto"/>
          <w:lang w:val="el-GR" w:eastAsia="el-GR" w:bidi="el-GR"/>
        </w:rPr>
        <w:t xml:space="preserve">Α.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Jeremias,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Das A. 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im Lichte des alten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Orients,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118.</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Encycl. Biblica,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Seth,” “ Egypt.”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Meyer,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Israeliten und ihre Nachbarstämme,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219.</w:t>
      </w:r>
    </w:p>
    <w:p>
      <w:pPr>
        <w:widowControl w:val="0"/>
        <w:spacing w:line="1" w:lineRule="exact"/>
      </w:pPr>
    </w:p>
    <w:sectPr>
      <w:footnotePr>
        <w:pos w:val="pageBottom"/>
        <w:numFmt w:val="decimal"/>
        <w:numRestart w:val="continuous"/>
      </w:footnotePr>
      <w:type w:val="continuous"/>
      <w:pgSz w:w="12240" w:h="15840"/>
      <w:pgMar w:top="841" w:left="1050" w:right="824"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