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became fashionable. The form was artless, and the absence of upholstery, save on the seat, produced a somewhat angular effect. This type of settee was in essence two chairs with one set of arms. Chippendale made many such pieces, some of them of great beauty. As the taste for carved furniture waned these sturdy settees were replaced by lighter ones, often graceful enough in outline—Hepplewhite and Sheraton were distinguished practitioners—but partaking more and more of the “ stuffed-over ” character. The desire for comfort and ease gradually drove out the original idea that the settee was intended only for sitting bolt upright. Its modem varieties are many, but in all of them the frame, once so lavishly ornamented, is almost concealed by upholstery.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SETTEMBRINI, LUIGI (1813-1877), Italian man of letters and politician, was born in Naples. At the age of twenty-two he was appointed professor of eloquence at Catanzaro, and married Raffaela Luigia Faucitano (1835). While still a young man he had beèn affected by the wave of liberalism then spreading all over Italy, and soon after his marriage he began to conspire mildly against the Bourbon government. Betrayed by a priest, he was arrested in 1839 and imprisoned at Naples; although liberated three years later he lost his professorship and had to maintain himself by private lessons. Nevertheless he continued to conspire, and in 1847 he published anonymously a “ Protest of the People of the Two Sicilies,” a scathing indictment of the Bourbon government. On the advice of friends he went to Malta on a British warship, but although, when King Ferdinand II. granted a constitution (16th of February 1848), he returned to Naples and was given an appointment at the ministry of educa- tion, he soon resigned on account of the prevailing chaos, and retired to a farm at Posilipo. When reaction set in, once more Settembrini was arrested as a suspect (June 1849) and imprisoned. After a monstrously unfair trial, he and two other “ politicals ” were condemned to death, and nineteen others to varying terms of imprisonment (February 1851). The death sentences were, however, commuted to imprisonment for life, and Settembrini was sent to the dungeons of San Stefano. There he remained for eight years. His friends, including Antonio Panizzi, then in England, made various unsuccessful attempts to liberate him, and at last he was deported with sixty-five other political prisoners. The exiles received an enthusiastic welcome in London, but Settembrini after a short stay in England joined his family at Florence in 1860. On the formation of the Italian kingdom he was appointed professor of Italian literature at the university of Naples, and devoted the rest of his life to literary pursuits. In 1875 he was nominated senator. He died in 1877. His chief work is his </w:t>
      </w:r>
      <w:r>
        <w:rPr>
          <w:rFonts w:ascii="Times New Roman" w:eastAsia="Times New Roman" w:hAnsi="Times New Roman" w:cs="Times New Roman"/>
          <w:i/>
          <w:iCs/>
          <w:color w:val="000000"/>
          <w:spacing w:val="0"/>
          <w:w w:val="100"/>
          <w:position w:val="0"/>
          <w:shd w:val="clear" w:color="auto" w:fill="auto"/>
          <w:lang w:val="en-US" w:eastAsia="en-US" w:bidi="en-US"/>
        </w:rPr>
        <w:t>Lezioni di letteratura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dominant note is the conviction that Italian literature “ is as the very soul of the nation, seeking, in opposition to medieval mysticism, reality, freedom, independence of reason, truth and beauty ’’ (P. Villari).</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L. Settembrini,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Ricordanze,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edited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Sanctis (Naples, 1879-1880)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Epistolario di Luigi Settembrini,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edited by F. Fiorentino; P. Villari,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Saggi critici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(Florence, 1884); Countess Martinengo Cesaresco,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Italian Characters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SETTLE, ELKANAH (1648-1724), English poet and play</w:t>
        <w:softHyphen/>
        <w:t>wright, was born at Dunstable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January 1648. He entered Trinity College, Oxford, in 1666, but left the university without taking a degree. His first tragedy, </w:t>
      </w:r>
      <w:r>
        <w:rPr>
          <w:rFonts w:ascii="Times New Roman" w:eastAsia="Times New Roman" w:hAnsi="Times New Roman" w:cs="Times New Roman"/>
          <w:i/>
          <w:iCs/>
          <w:color w:val="000000"/>
          <w:spacing w:val="0"/>
          <w:w w:val="100"/>
          <w:position w:val="0"/>
          <w:shd w:val="clear" w:color="auto" w:fill="auto"/>
          <w:lang w:val="en-US" w:eastAsia="en-US" w:bidi="en-US"/>
        </w:rPr>
        <w:t>Cambyses, King of Persia,</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at Lincoln’s Inn Fields in 1667. The success of this play led the earl of Rochester to encourage the new writer as a rival to Dryden. Through his influence Settle’s </w:t>
      </w:r>
      <w:r>
        <w:rPr>
          <w:rFonts w:ascii="Times New Roman" w:eastAsia="Times New Roman" w:hAnsi="Times New Roman" w:cs="Times New Roman"/>
          <w:i/>
          <w:iCs/>
          <w:color w:val="000000"/>
          <w:spacing w:val="0"/>
          <w:w w:val="100"/>
          <w:position w:val="0"/>
          <w:shd w:val="clear" w:color="auto" w:fill="auto"/>
          <w:lang w:val="en-US" w:eastAsia="en-US" w:bidi="en-US"/>
        </w:rPr>
        <w:t>Empress of Morocco</w:t>
      </w:r>
      <w:r>
        <w:rPr>
          <w:rFonts w:ascii="Times New Roman" w:eastAsia="Times New Roman" w:hAnsi="Times New Roman" w:cs="Times New Roman"/>
          <w:color w:val="000000"/>
          <w:spacing w:val="0"/>
          <w:w w:val="100"/>
          <w:position w:val="0"/>
          <w:shd w:val="clear" w:color="auto" w:fill="auto"/>
          <w:lang w:val="en-US" w:eastAsia="en-US" w:bidi="en-US"/>
        </w:rPr>
        <w:t xml:space="preserve"> (1671) was twice acted at Whitehall, and proved a signal success on the stage. It is said by Dennis to have been “ the first play that was ever sold in England for two shillings, and the first play that was ever printed with cuts.” These illustrations represent scenes in the theatre, and make the book very valuable. The play was printed with a preface to the earl of Norwich, in which Settle described with scorn the effusive dedications of other dramatic poets. Dryden was obviously aimed at, and he co-operated with Crowne and Shadwell in an abusive pamphlet entitled “Notes and Observations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Empress of Morocco ’’ (1674), to which Settle replied in “ Some Notes and Observations on the Empress of Morocco revised ” (1674). In the second part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Absalom and Achitophel, </w:t>
      </w:r>
      <w:r>
        <w:rPr>
          <w:rFonts w:ascii="Times New Roman" w:eastAsia="Times New Roman" w:hAnsi="Times New Roman" w:cs="Times New Roman"/>
          <w:color w:val="000000"/>
          <w:spacing w:val="0"/>
          <w:w w:val="100"/>
          <w:position w:val="0"/>
          <w:shd w:val="clear" w:color="auto" w:fill="auto"/>
          <w:lang w:val="en-US" w:eastAsia="en-US" w:bidi="en-US"/>
        </w:rPr>
        <w:t>in a passage certainly by Dryden’s hand, he figures as “ Doeg.” Neglected by the court party he took an active share in the anti-popish agitation. When this subsided he turned round to expose Titus Oates, and with the Revolution he veered towards the Whig party. But he had lost the confidence of both sides, and “ recanting Settle ’’ accordingly abandoned politics for the appointment (1691) of city poet. In his old age he kept a booth at Bartholomew Fair, where he is said to have played the part of the dragon in a green leather suit devised by himself. He became a poor brother of the Charterhouse, where he died on the 12th of February 1724.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Settle’s numerous works include, beside numerous political pamphlets and occasional poems,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Ibrahim, the Illustrious Bassa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(1676), a tragedy taken from Madeleine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Scudéry’s romance;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Female Prelate; being the History of the Life and Death of Pope Joan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(1680), a tragedy;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Ambitious Slave: or A Generous Revenge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(1694);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World in the Moon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(1697), an opera, of which the first scene was formed by a moon fourteen feet across;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Virgin Prophetess, or The Fate of Troy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(1701), an opera.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SETTLE, a market town in the Skipton parliamentary division of the West Riding of Yorkshire, England, 41½ m. N.W. from Leeds by the Midland railway. Pop. (1901) 2302. It lies in the upper part of the </w:t>
      </w:r>
      <w:r>
        <w:rPr>
          <w:rFonts w:ascii="Times New Roman" w:eastAsia="Times New Roman" w:hAnsi="Times New Roman" w:cs="Times New Roman"/>
          <w:color w:val="000000"/>
          <w:spacing w:val="0"/>
          <w:w w:val="100"/>
          <w:position w:val="0"/>
          <w:shd w:val="clear" w:color="auto" w:fill="auto"/>
          <w:lang w:val="de-DE" w:eastAsia="de-DE" w:bidi="de-DE"/>
        </w:rPr>
        <w:t xml:space="preserve">Ribble </w:t>
      </w:r>
      <w:r>
        <w:rPr>
          <w:rFonts w:ascii="Times New Roman" w:eastAsia="Times New Roman" w:hAnsi="Times New Roman" w:cs="Times New Roman"/>
          <w:color w:val="000000"/>
          <w:spacing w:val="0"/>
          <w:w w:val="100"/>
          <w:position w:val="0"/>
          <w:shd w:val="clear" w:color="auto" w:fill="auto"/>
          <w:lang w:val="en-US" w:eastAsia="en-US" w:bidi="en-US"/>
        </w:rPr>
        <w:t>valley, amid the wild scenery of the limestone hills of the Pennine system. The district includes several caves, such as Victoria Cave, close to the town, where bones of animals, and stone, bone and other implements and ornaments have been discovered. Other points of interest are Malham Cove and tarn, the ravine of Gordale Scar, the cliffs of Attermyre, Giggleswick Scar and Castleberg (the last imme</w:t>
        <w:softHyphen/>
        <w:t>diately above Settle itself), the Clapham and Weathercote caves, the chasm of Helln Pot and the waterfall of Stainforth Foss. In the town are cotton factories and a tannery. To the west of the town is the grammar school of Giggleswick, one of the principal public schools in the north of England, founded in 1512.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SETTLE, a wooden bench, usually with arms and a high back, long enough to accommodate three or four sitters. It is most commonly movable, but occasionally fixed as in the “ boxes ” of those old coffee-houses of which a few examples still remain in London, and perhaps elsewhere. It shares with the chest and the chair the distinction of great antiquity. Its high back was a protection from the draughts of medieval buildings—a protection which was sometimes increased by the addition of winged ends or a wooden canopy. It was most frequently placed near the fire in the common sitting-room. Constructed of oak, or other hard wood, it was extremely heavy, solid and durable. Few English examples of earlier date than the middle of the 16th century have come down to us; survivals from the Jacobean period are more numerous. Settles of the more expensive type were often elaborately carved or incised; others were divided into plain panels. A well-preserved specimen, with its richly polished oak, darkened by time and beeswax, is a handsome piece of furniture often still to be found in its original environment—the farm-house kitchen or the manorial hall. Its vogue did not long outlast the first half of the 18th century, to which period most of the existing specimens belong.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SETTLEMENT, in law, a mutual arrangement between living persons for regulating the enjoyment of property, and the instrument by which such enjoyment is regulated. Settle</w:t>
        <w:softHyphen/>
        <w:t>ments may be either for valuable consideration or not: the latter are usually called voluntary, and are in law to some extent in the same position as revocable gifts; the former are really contracts, and in general their validity depends upon the law of contract. They may accordingly contain any provisions not contrary to law or public policy.@@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elements of the modern settlement are to be found in Roman law. The </w:t>
      </w:r>
      <w:r>
        <w:rPr>
          <w:rFonts w:ascii="Times New Roman" w:eastAsia="Times New Roman" w:hAnsi="Times New Roman" w:cs="Times New Roman"/>
          <w:i/>
          <w:iCs/>
          <w:color w:val="000000"/>
          <w:spacing w:val="0"/>
          <w:w w:val="100"/>
          <w:position w:val="0"/>
          <w:shd w:val="clear" w:color="auto" w:fill="auto"/>
          <w:lang w:val="en-US" w:eastAsia="en-US" w:bidi="en-US"/>
        </w:rPr>
        <w:t>vulgaris, pupillaris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exemplaris substitutio </w:t>
      </w:r>
      <w:r>
        <w:rPr>
          <w:rFonts w:ascii="Times New Roman" w:eastAsia="Times New Roman" w:hAnsi="Times New Roman" w:cs="Times New Roman"/>
          <w:color w:val="000000"/>
          <w:spacing w:val="0"/>
          <w:w w:val="100"/>
          <w:position w:val="0"/>
          <w:shd w:val="clear" w:color="auto" w:fill="auto"/>
          <w:lang w:val="en-US" w:eastAsia="en-US" w:bidi="en-US"/>
        </w:rPr>
        <w:t>(consisting in the appointment of successive heirs in case of the</w:t>
      </w:r>
    </w:p>
    <w:p>
      <w:pPr>
        <w:pStyle w:val="Style3"/>
        <w:keepNext w:val="0"/>
        <w:keepLines w:val="0"/>
        <w:widowControl w:val="0"/>
        <w:shd w:val="clear" w:color="auto" w:fill="auto"/>
        <w:bidi w:val="0"/>
        <w:spacing w:line="199"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this English law allows greater freedom than French. By § 791 of the Code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Napoléon,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contract of marriage the succession to a living person cannot be renounced.</w:t>
      </w:r>
    </w:p>
    <w:p>
      <w:pPr>
        <w:widowControl w:val="0"/>
        <w:spacing w:line="1" w:lineRule="exact"/>
      </w:pPr>
    </w:p>
    <w:sectPr>
      <w:footnotePr>
        <w:pos w:val="pageBottom"/>
        <w:numFmt w:val="decimal"/>
        <w:numRestart w:val="continuous"/>
      </w:footnotePr>
      <w:type w:val="continuous"/>
      <w:pgSz w:w="12240" w:h="15840"/>
      <w:pgMar w:top="828" w:left="961" w:right="872" w:bottom="7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