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SEVEN WISE MASTERS, THE, a cycle of stories of Oriental origin. A Roman emperor causes his son to be educated away from the court in the seven liberal arts by seven wise masters. On his return to court his stepmother the empress seeks to seduce him. To avert some danger presaged by the stars he is bound over to a week’s silence. During this time the empress accuses him to her husband, and seeks to bring about his death by seven stories which she relates to the emperor; but her narrative is each time confuted by talcs of the craft of women related by the sages. Finally the prince’s lips are unsealed, the truth exposed, and the wicked empress is executed.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cycle of stories, which appears in many European languages, is of Eastern origin. An analogous collection occurs in Sanskrit, but the Indian original is unknown. Travelling from the east by way of Arabic, Persian, Syriac and Greek, it was known as the book of Sindìbâd, and was translated from Greek into Latin in the 12th century by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 xml:space="preserve">Hauteseille (Joannes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Alta Silva), a monk of the abbey of Haute-Seille near Toul, with the title of </w:t>
      </w:r>
      <w:r>
        <w:rPr>
          <w:rFonts w:ascii="Times New Roman" w:eastAsia="Times New Roman" w:hAnsi="Times New Roman" w:cs="Times New Roman"/>
          <w:i/>
          <w:iCs/>
          <w:color w:val="000000"/>
          <w:spacing w:val="0"/>
          <w:w w:val="100"/>
          <w:position w:val="0"/>
          <w:shd w:val="clear" w:color="auto" w:fill="auto"/>
          <w:lang w:val="en-US" w:eastAsia="en-US" w:bidi="en-US"/>
        </w:rPr>
        <w:t>Dolopathos</w:t>
      </w:r>
      <w:r>
        <w:rPr>
          <w:rFonts w:ascii="Times New Roman" w:eastAsia="Times New Roman" w:hAnsi="Times New Roman" w:cs="Times New Roman"/>
          <w:color w:val="000000"/>
          <w:spacing w:val="0"/>
          <w:w w:val="100"/>
          <w:position w:val="0"/>
          <w:shd w:val="clear" w:color="auto" w:fill="auto"/>
          <w:lang w:val="en-US" w:eastAsia="en-US" w:bidi="en-US"/>
        </w:rPr>
        <w:t xml:space="preserve"> (ed. H. Oesterley, </w:t>
      </w:r>
      <w:r>
        <w:rPr>
          <w:rFonts w:ascii="Times New Roman" w:eastAsia="Times New Roman" w:hAnsi="Times New Roman" w:cs="Times New Roman"/>
          <w:color w:val="000000"/>
          <w:spacing w:val="0"/>
          <w:w w:val="100"/>
          <w:position w:val="0"/>
          <w:shd w:val="clear" w:color="auto" w:fill="auto"/>
          <w:lang w:val="de-DE" w:eastAsia="de-DE" w:bidi="de-DE"/>
        </w:rPr>
        <w:t>Strass</w:t>
        <w:softHyphen/>
        <w:t xml:space="preserve">burg, </w:t>
      </w:r>
      <w:r>
        <w:rPr>
          <w:rFonts w:ascii="Times New Roman" w:eastAsia="Times New Roman" w:hAnsi="Times New Roman" w:cs="Times New Roman"/>
          <w:color w:val="000000"/>
          <w:spacing w:val="0"/>
          <w:w w:val="100"/>
          <w:position w:val="0"/>
          <w:shd w:val="clear" w:color="auto" w:fill="auto"/>
          <w:lang w:val="en-US" w:eastAsia="en-US" w:bidi="en-US"/>
        </w:rPr>
        <w:t xml:space="preserve">1873). This was translated into French about 1210 by a </w:t>
      </w:r>
      <w:r>
        <w:rPr>
          <w:rFonts w:ascii="Times New Roman" w:eastAsia="Times New Roman" w:hAnsi="Times New Roman" w:cs="Times New Roman"/>
          <w:i/>
          <w:iCs/>
          <w:color w:val="000000"/>
          <w:spacing w:val="0"/>
          <w:w w:val="100"/>
          <w:position w:val="0"/>
          <w:shd w:val="clear" w:color="auto" w:fill="auto"/>
          <w:lang w:val="fr-FR" w:eastAsia="fr-FR" w:bidi="fr-FR"/>
        </w:rPr>
        <w:t>trouvère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named Herbers as </w:t>
      </w:r>
      <w:r>
        <w:rPr>
          <w:rFonts w:ascii="Times New Roman" w:eastAsia="Times New Roman" w:hAnsi="Times New Roman" w:cs="Times New Roman"/>
          <w:i/>
          <w:iCs/>
          <w:color w:val="000000"/>
          <w:spacing w:val="0"/>
          <w:w w:val="100"/>
          <w:position w:val="0"/>
          <w:shd w:val="clear" w:color="auto" w:fill="auto"/>
          <w:lang w:val="en-US" w:eastAsia="en-US" w:bidi="en-US"/>
        </w:rPr>
        <w:t>Li Romans di Dolopathos;</w:t>
      </w:r>
      <w:r>
        <w:rPr>
          <w:rFonts w:ascii="Times New Roman" w:eastAsia="Times New Roman" w:hAnsi="Times New Roman" w:cs="Times New Roman"/>
          <w:color w:val="000000"/>
          <w:spacing w:val="0"/>
          <w:w w:val="100"/>
          <w:position w:val="0"/>
          <w:shd w:val="clear" w:color="auto" w:fill="auto"/>
          <w:lang w:val="en-US" w:eastAsia="en-US" w:bidi="en-US"/>
        </w:rPr>
        <w:t xml:space="preserve"> another French version,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 Romans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sept sages,</w:t>
      </w:r>
      <w:r>
        <w:rPr>
          <w:rFonts w:ascii="Times New Roman" w:eastAsia="Times New Roman" w:hAnsi="Times New Roman" w:cs="Times New Roman"/>
          <w:color w:val="000000"/>
          <w:spacing w:val="0"/>
          <w:w w:val="100"/>
          <w:position w:val="0"/>
          <w:shd w:val="clear" w:color="auto" w:fill="auto"/>
          <w:lang w:val="en-US" w:eastAsia="en-US" w:bidi="en-US"/>
        </w:rPr>
        <w:t xml:space="preserve"> was based on a different Latin original. The German, English, French and Spanish chap-books of the cycle are generally based on a Latin original differing from these. Three metrical romances probably based on the French, and dating from the 14th century, exist in English. The most important of these is </w:t>
      </w:r>
      <w:r>
        <w:rPr>
          <w:rFonts w:ascii="Times New Roman" w:eastAsia="Times New Roman" w:hAnsi="Times New Roman" w:cs="Times New Roman"/>
          <w:i/>
          <w:iCs/>
          <w:color w:val="000000"/>
          <w:spacing w:val="0"/>
          <w:w w:val="100"/>
          <w:position w:val="0"/>
          <w:shd w:val="clear" w:color="auto" w:fill="auto"/>
          <w:lang w:val="en-US" w:eastAsia="en-US" w:bidi="en-US"/>
        </w:rPr>
        <w:t>The Sevyn Sages</w:t>
      </w:r>
      <w:r>
        <w:rPr>
          <w:rFonts w:ascii="Times New Roman" w:eastAsia="Times New Roman" w:hAnsi="Times New Roman" w:cs="Times New Roman"/>
          <w:color w:val="000000"/>
          <w:spacing w:val="0"/>
          <w:w w:val="100"/>
          <w:position w:val="0"/>
          <w:shd w:val="clear" w:color="auto" w:fill="auto"/>
          <w:lang w:val="en-US" w:eastAsia="en-US" w:bidi="en-US"/>
        </w:rPr>
        <w:t xml:space="preserve"> by John </w:t>
      </w:r>
      <w:r>
        <w:rPr>
          <w:rFonts w:ascii="Times New Roman" w:eastAsia="Times New Roman" w:hAnsi="Times New Roman" w:cs="Times New Roman"/>
          <w:color w:val="000000"/>
          <w:spacing w:val="0"/>
          <w:w w:val="100"/>
          <w:position w:val="0"/>
          <w:shd w:val="clear" w:color="auto" w:fill="auto"/>
          <w:lang w:val="fr-FR" w:eastAsia="fr-FR" w:bidi="fr-FR"/>
        </w:rPr>
        <w:t xml:space="preserve">Rolland </w:t>
      </w:r>
      <w:r>
        <w:rPr>
          <w:rFonts w:ascii="Times New Roman" w:eastAsia="Times New Roman" w:hAnsi="Times New Roman" w:cs="Times New Roman"/>
          <w:color w:val="000000"/>
          <w:spacing w:val="0"/>
          <w:w w:val="100"/>
          <w:position w:val="0"/>
          <w:shd w:val="clear" w:color="auto" w:fill="auto"/>
          <w:lang w:val="en-US" w:eastAsia="en-US" w:bidi="en-US"/>
        </w:rPr>
        <w:t>of Dalkeith, edited for the Bannatyne Club (Edinburgh, 1837).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Latin romance was frequently printed in the 15th century, and Wynkyn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Worde printed an English version about 1515. See G. Paris,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Deux Rédactions du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roman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des sept sages de Rome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Soc. des. anc. textes fr.);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Büchner,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Historia septem sapientium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 (Erlangen, 1889);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Campbell,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Study of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Romance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of the Seven Sages with special reference to the middle English versions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(Baltimore, 1898); D. Comparetti,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Researches respecting the Book of Sindibâd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(Folk-Lore Soc., 1882).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 WISE MEN OF GREECE, THE, a collective name for certain sages who flourished c. 620-550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generally accepted list is Bias, Chilon, Cleobulus, </w:t>
      </w:r>
      <w:r>
        <w:rPr>
          <w:rFonts w:ascii="Times New Roman" w:eastAsia="Times New Roman" w:hAnsi="Times New Roman" w:cs="Times New Roman"/>
          <w:color w:val="000000"/>
          <w:spacing w:val="0"/>
          <w:w w:val="100"/>
          <w:position w:val="0"/>
          <w:shd w:val="clear" w:color="auto" w:fill="auto"/>
          <w:lang w:val="de-DE" w:eastAsia="de-DE" w:bidi="de-DE"/>
        </w:rPr>
        <w:t xml:space="preserve">Periander, </w:t>
      </w:r>
      <w:r>
        <w:rPr>
          <w:rFonts w:ascii="Times New Roman" w:eastAsia="Times New Roman" w:hAnsi="Times New Roman" w:cs="Times New Roman"/>
          <w:color w:val="000000"/>
          <w:spacing w:val="0"/>
          <w:w w:val="100"/>
          <w:position w:val="0"/>
          <w:shd w:val="clear" w:color="auto" w:fill="auto"/>
          <w:lang w:val="en-US" w:eastAsia="en-US" w:bidi="en-US"/>
        </w:rPr>
        <w:t>Pittacus, Solon, Thales (see separate articles), although ancient authorities differ as to names and number. They obtained great influence in their respective cities as legislators and advisers, and a re</w:t>
        <w:softHyphen/>
        <w:t>putation throughout the Greek world. Their rules of life were embodied in poems and short sayings in common use.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O.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Bernhardt,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sieben Weisen Griechenlands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Bohren,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septem sapientibus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“Septem sapientium carmina et apophthegmata,”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short biographies in F. Mullach,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Fragmenta philosophorum Graecorum,</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Wulf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Dissertationes philologicae Halenses,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xiii.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 WONDERS OF THE WORLD, the name conferred on a select group of ancient works of art which had obtained pre-eminence among the sight-seers of the Alexandrian era. The earliest extant list, doubtless compiled from the numerous guide books then current in the Greek world, is that of the epigrammatist Antipater of Sidon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second and slightly divergent list from the hand of a Byzantine rhetori</w:t>
        <w:softHyphen/>
        <w:t xml:space="preserve">cian has been incorporated in the works of Philo of Byzantium. The monuments are as follows: (1) the pyramids of Egypt, (2) the gardens of Semiramis at Babylon, (3) the statue of Zeus at Olympia (see </w:t>
      </w:r>
      <w:r>
        <w:rPr>
          <w:rFonts w:ascii="Times New Roman" w:eastAsia="Times New Roman" w:hAnsi="Times New Roman" w:cs="Times New Roman"/>
          <w:smallCaps/>
          <w:color w:val="000000"/>
          <w:spacing w:val="0"/>
          <w:w w:val="100"/>
          <w:position w:val="0"/>
          <w:shd w:val="clear" w:color="auto" w:fill="auto"/>
          <w:lang w:val="en-US" w:eastAsia="en-US" w:bidi="en-US"/>
        </w:rPr>
        <w:t>Pheidias),</w:t>
      </w:r>
      <w:r>
        <w:rPr>
          <w:rFonts w:ascii="Times New Roman" w:eastAsia="Times New Roman" w:hAnsi="Times New Roman" w:cs="Times New Roman"/>
          <w:color w:val="000000"/>
          <w:spacing w:val="0"/>
          <w:w w:val="100"/>
          <w:position w:val="0"/>
          <w:shd w:val="clear" w:color="auto" w:fill="auto"/>
          <w:lang w:val="en-US" w:eastAsia="en-US" w:bidi="en-US"/>
        </w:rPr>
        <w:t xml:space="preserve"> (4) the temple of Artemis at Ephesus, (5) the Mausoleum at Halicarnassus (see </w:t>
      </w:r>
      <w:r>
        <w:rPr>
          <w:rFonts w:ascii="Times New Roman" w:eastAsia="Times New Roman" w:hAnsi="Times New Roman" w:cs="Times New Roman"/>
          <w:smallCaps/>
          <w:color w:val="000000"/>
          <w:spacing w:val="0"/>
          <w:w w:val="100"/>
          <w:position w:val="0"/>
          <w:shd w:val="clear" w:color="auto" w:fill="auto"/>
          <w:lang w:val="en-US" w:eastAsia="en-US" w:bidi="en-US"/>
        </w:rPr>
        <w:t>Mausoleum),</w:t>
      </w:r>
      <w:r>
        <w:rPr>
          <w:rFonts w:ascii="Times New Roman" w:eastAsia="Times New Roman" w:hAnsi="Times New Roman" w:cs="Times New Roman"/>
          <w:color w:val="000000"/>
          <w:spacing w:val="0"/>
          <w:w w:val="100"/>
          <w:position w:val="0"/>
          <w:shd w:val="clear" w:color="auto" w:fill="auto"/>
          <w:lang w:val="en-US" w:eastAsia="en-US" w:bidi="en-US"/>
        </w:rPr>
        <w:t xml:space="preserve"> (6) the Colossus at Rhodes, (7) the Pharos (lighthouse) of Alexandria, or the Walls of Babylon.</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 Philo ”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septem mundi miraculis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Hercher, Paris, 1858).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SEVEN YEARS' WAR (1756-1763), the name given to the European war which arose from the formation of a coalition between Austria, France, Russia, Sweden and Saxony against Prussia, with the object of destroying, or at least crippling, the power of Frederick the Great. Prussia was joined by England, and between England and France, as usual, a maritime and colonial war broke out at the first pretext; this war laid the foundations of the British empire, for ere the seven campaigns had been fought in Europe, the French dominion in Canada and the French influence in India, in spite of Dupleix, Lally and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Montcalm, had been entirely overthrown by the victories of Clive, Amherst and Wolfe. Great as was the effect of these victories on the history of the world, however, it is at least questionable whether the steadfast resistance of Prussia, almost single-handed as she </w:t>
      </w:r>
      <w:r>
        <w:rPr>
          <w:rFonts w:ascii="Times New Roman" w:eastAsia="Times New Roman" w:hAnsi="Times New Roman" w:cs="Times New Roman"/>
          <w:color w:val="000000"/>
          <w:spacing w:val="0"/>
          <w:w w:val="100"/>
          <w:position w:val="0"/>
          <w:shd w:val="clear" w:color="auto" w:fill="auto"/>
          <w:lang w:val="en-US" w:eastAsia="en-US" w:bidi="en-US"/>
        </w:rPr>
        <w:t>was—</w:t>
      </w:r>
      <w:r>
        <w:rPr>
          <w:rFonts w:ascii="Times New Roman" w:eastAsia="Times New Roman" w:hAnsi="Times New Roman" w:cs="Times New Roman"/>
          <w:color w:val="000000"/>
          <w:spacing w:val="0"/>
          <w:w w:val="100"/>
          <w:position w:val="0"/>
          <w:shd w:val="clear" w:color="auto" w:fill="auto"/>
          <w:lang w:val="en-US" w:eastAsia="en-US" w:bidi="en-US"/>
        </w:rPr>
        <w:t>the resistance which laid the solid, if then unseen, foundations of modern Germany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is not as important a pheno- menon, and from the technical military standpoint </w:t>
      </w:r>
      <w:r>
        <w:rPr>
          <w:rFonts w:ascii="Times New Roman" w:eastAsia="Times New Roman" w:hAnsi="Times New Roman" w:cs="Times New Roman"/>
          <w:color w:val="000000"/>
          <w:spacing w:val="0"/>
          <w:w w:val="100"/>
          <w:position w:val="0"/>
          <w:shd w:val="clear" w:color="auto" w:fill="auto"/>
          <w:lang w:val="de-DE" w:eastAsia="de-DE" w:bidi="de-DE"/>
        </w:rPr>
        <w:t xml:space="preserve">Rossbach </w:t>
      </w:r>
      <w:r>
        <w:rPr>
          <w:rFonts w:ascii="Times New Roman" w:eastAsia="Times New Roman" w:hAnsi="Times New Roman" w:cs="Times New Roman"/>
          <w:color w:val="000000"/>
          <w:spacing w:val="0"/>
          <w:w w:val="100"/>
          <w:position w:val="0"/>
          <w:shd w:val="clear" w:color="auto" w:fill="auto"/>
          <w:lang w:val="en-US" w:eastAsia="en-US" w:bidi="en-US"/>
        </w:rPr>
        <w:t xml:space="preserve">and Leuthen, </w:t>
      </w:r>
      <w:r>
        <w:rPr>
          <w:rFonts w:ascii="Times New Roman" w:eastAsia="Times New Roman" w:hAnsi="Times New Roman" w:cs="Times New Roman"/>
          <w:color w:val="000000"/>
          <w:spacing w:val="0"/>
          <w:w w:val="100"/>
          <w:position w:val="0"/>
          <w:shd w:val="clear" w:color="auto" w:fill="auto"/>
          <w:lang w:val="de-DE" w:eastAsia="de-DE" w:bidi="de-DE"/>
        </w:rPr>
        <w:t xml:space="preserve">Zorndorf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Kunersdorf </w:t>
      </w:r>
      <w:r>
        <w:rPr>
          <w:rFonts w:ascii="Times New Roman" w:eastAsia="Times New Roman" w:hAnsi="Times New Roman" w:cs="Times New Roman"/>
          <w:color w:val="000000"/>
          <w:spacing w:val="0"/>
          <w:w w:val="100"/>
          <w:position w:val="0"/>
          <w:shd w:val="clear" w:color="auto" w:fill="auto"/>
          <w:lang w:val="en-US" w:eastAsia="en-US" w:bidi="en-US"/>
        </w:rPr>
        <w:t xml:space="preserve">possess an interest which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would be possible perhaps to claim for Plassy and for Quebec, but not for border conflicts in Canada and India. It is not only battles, the distinct and tangible military events, that make up the story of Frederick’s defence. There are countless marches and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 xml:space="preserve">devoid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interest as regards their details; but, as indications of the equilibrium of forces in 18th-century warfare, indispensable to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study of military history as a whole.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Learning of the existence and intentions of the coalition, Frederick determined to strike first, and to that end, during the months </w:t>
      </w:r>
      <w:r>
        <w:rPr>
          <w:rFonts w:ascii="Times New Roman" w:eastAsia="Times New Roman" w:hAnsi="Times New Roman" w:cs="Times New Roman"/>
          <w:color w:val="000000"/>
          <w:spacing w:val="0"/>
          <w:w w:val="100"/>
          <w:position w:val="0"/>
          <w:shd w:val="clear" w:color="auto" w:fill="auto"/>
          <w:lang w:val="en-US" w:eastAsia="en-US" w:bidi="en-US"/>
        </w:rPr>
        <w:t xml:space="preserve">preceding </w:t>
      </w:r>
      <w:r>
        <w:rPr>
          <w:rFonts w:ascii="Times New Roman" w:eastAsia="Times New Roman" w:hAnsi="Times New Roman" w:cs="Times New Roman"/>
          <w:color w:val="000000"/>
          <w:spacing w:val="0"/>
          <w:w w:val="100"/>
          <w:position w:val="0"/>
          <w:shd w:val="clear" w:color="auto" w:fill="auto"/>
          <w:lang w:val="en-US" w:eastAsia="en-US" w:bidi="en-US"/>
        </w:rPr>
        <w:t xml:space="preserve">the outbreak of hostilities, he concentrated his 150,000 men as follows:―11,000 men in Pomerania to </w:t>
      </w:r>
      <w:r>
        <w:rPr>
          <w:rFonts w:ascii="Times New Roman" w:eastAsia="Times New Roman" w:hAnsi="Times New Roman" w:cs="Times New Roman"/>
          <w:color w:val="000000"/>
          <w:spacing w:val="0"/>
          <w:w w:val="100"/>
          <w:position w:val="0"/>
          <w:shd w:val="clear" w:color="auto" w:fill="auto"/>
          <w:lang w:val="en-US" w:eastAsia="en-US" w:bidi="en-US"/>
        </w:rPr>
        <w:t xml:space="preserve">watch </w:t>
      </w:r>
      <w:r>
        <w:rPr>
          <w:rFonts w:ascii="Times New Roman" w:eastAsia="Times New Roman" w:hAnsi="Times New Roman" w:cs="Times New Roman"/>
          <w:color w:val="000000"/>
          <w:spacing w:val="0"/>
          <w:w w:val="100"/>
          <w:position w:val="0"/>
          <w:shd w:val="clear" w:color="auto" w:fill="auto"/>
          <w:lang w:val="en-US" w:eastAsia="en-US" w:bidi="en-US"/>
        </w:rPr>
        <w:t xml:space="preserve">the Swedes, 26,000 on the Russian frontier, 37,000 men under Field Marshal Schwerin in Silesia, and a main body of 70,000 in three columns ready to advance into Saxony at a moment’s notice, the king being in chief command. On the 29th of August </w:t>
      </w:r>
      <w:r>
        <w:rPr>
          <w:rFonts w:ascii="Times New Roman" w:eastAsia="Times New Roman" w:hAnsi="Times New Roman" w:cs="Times New Roman"/>
          <w:color w:val="000000"/>
          <w:spacing w:val="0"/>
          <w:w w:val="100"/>
          <w:position w:val="0"/>
          <w:shd w:val="clear" w:color="auto" w:fill="auto"/>
          <w:lang w:val="en-US" w:eastAsia="en-US" w:bidi="en-US"/>
        </w:rPr>
        <w:t xml:space="preserve">1756 </w:t>
      </w:r>
      <w:r>
        <w:rPr>
          <w:rFonts w:ascii="Times New Roman" w:eastAsia="Times New Roman" w:hAnsi="Times New Roman" w:cs="Times New Roman"/>
          <w:color w:val="000000"/>
          <w:spacing w:val="0"/>
          <w:w w:val="100"/>
          <w:position w:val="0"/>
          <w:shd w:val="clear" w:color="auto" w:fill="auto"/>
          <w:lang w:val="en-US" w:eastAsia="en-US" w:bidi="en-US"/>
        </w:rPr>
        <w:t xml:space="preserve">the Saxon frontier was crossed. Dresden was occupied on the 10th of September, the Saxon army, about 14,000 strong, falling back before the invaders to the entrenched camp of </w:t>
      </w:r>
      <w:r>
        <w:rPr>
          <w:rFonts w:ascii="Times New Roman" w:eastAsia="Times New Roman" w:hAnsi="Times New Roman" w:cs="Times New Roman"/>
          <w:color w:val="000000"/>
          <w:spacing w:val="0"/>
          <w:w w:val="100"/>
          <w:position w:val="0"/>
          <w:shd w:val="clear" w:color="auto" w:fill="auto"/>
          <w:lang w:val="de-DE" w:eastAsia="de-DE" w:bidi="de-DE"/>
        </w:rPr>
        <w:t xml:space="preserve">Pirna, </w:t>
      </w:r>
      <w:r>
        <w:rPr>
          <w:rFonts w:ascii="Times New Roman" w:eastAsia="Times New Roman" w:hAnsi="Times New Roman" w:cs="Times New Roman"/>
          <w:color w:val="000000"/>
          <w:spacing w:val="0"/>
          <w:w w:val="100"/>
          <w:position w:val="0"/>
          <w:shd w:val="clear" w:color="auto" w:fill="auto"/>
          <w:lang w:val="en-US" w:eastAsia="en-US" w:bidi="en-US"/>
        </w:rPr>
        <w:t xml:space="preserve">an almost inaccessible plateau parallel to the Elbe and close to the Bohemian frontier. The secret of the Prussian intentions had been so well kept that the Austrians were still widely disseminated in Bohemia and Moravia. 32,000 men under Field Marshal Browne were at Kolin, and 22,000 under </w:t>
      </w:r>
      <w:r>
        <w:rPr>
          <w:rFonts w:ascii="Times New Roman" w:eastAsia="Times New Roman" w:hAnsi="Times New Roman" w:cs="Times New Roman"/>
          <w:color w:val="000000"/>
          <w:spacing w:val="0"/>
          <w:w w:val="100"/>
          <w:position w:val="0"/>
          <w:shd w:val="clear" w:color="auto" w:fill="auto"/>
          <w:lang w:val="de-DE" w:eastAsia="de-DE" w:bidi="de-DE"/>
        </w:rPr>
        <w:t xml:space="preserve">Piccolomini </w:t>
      </w:r>
      <w:r>
        <w:rPr>
          <w:rFonts w:ascii="Times New Roman" w:eastAsia="Times New Roman" w:hAnsi="Times New Roman" w:cs="Times New Roman"/>
          <w:color w:val="000000"/>
          <w:spacing w:val="0"/>
          <w:w w:val="100"/>
          <w:position w:val="0"/>
          <w:shd w:val="clear" w:color="auto" w:fill="auto"/>
          <w:lang w:val="en-US" w:eastAsia="en-US" w:bidi="en-US"/>
        </w:rPr>
        <w:t xml:space="preserve">at Olmütz, when on the 31st of August the news of the invasion arrived, and such was their unreadiness that Browne could not advance till the 6th of September, Piccolomini until the 9th. Meanwhile the Prussians, leaving detachments to watch the exits from </w:t>
      </w:r>
      <w:r>
        <w:rPr>
          <w:rFonts w:ascii="Times New Roman" w:eastAsia="Times New Roman" w:hAnsi="Times New Roman" w:cs="Times New Roman"/>
          <w:color w:val="000000"/>
          <w:spacing w:val="0"/>
          <w:w w:val="100"/>
          <w:position w:val="0"/>
          <w:shd w:val="clear" w:color="auto" w:fill="auto"/>
          <w:lang w:val="de-DE" w:eastAsia="de-DE" w:bidi="de-DE"/>
        </w:rPr>
        <w:t xml:space="preserve">Pirna, </w:t>
      </w:r>
      <w:r>
        <w:rPr>
          <w:rFonts w:ascii="Times New Roman" w:eastAsia="Times New Roman" w:hAnsi="Times New Roman" w:cs="Times New Roman"/>
          <w:color w:val="000000"/>
          <w:spacing w:val="0"/>
          <w:w w:val="100"/>
          <w:position w:val="0"/>
          <w:shd w:val="clear" w:color="auto" w:fill="auto"/>
          <w:lang w:val="en-US" w:eastAsia="en-US" w:bidi="en-US"/>
        </w:rPr>
        <w:t xml:space="preserve">moved up the Elbe and took post at </w:t>
      </w:r>
      <w:r>
        <w:rPr>
          <w:rFonts w:ascii="Times New Roman" w:eastAsia="Times New Roman" w:hAnsi="Times New Roman" w:cs="Times New Roman"/>
          <w:color w:val="000000"/>
          <w:spacing w:val="0"/>
          <w:w w:val="100"/>
          <w:position w:val="0"/>
          <w:shd w:val="clear" w:color="auto" w:fill="auto"/>
          <w:lang w:val="de-DE" w:eastAsia="de-DE" w:bidi="de-DE"/>
        </w:rPr>
        <w:t xml:space="preserve">Aussig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cover the investment of the Saxons. Learning of Browne’s approach on the 28th of September, the king, assuming the command of the covering force, advanced yet farther up the Elbe to meet him, and the two armies met at Lobositz (opposite Leitmeritz) on the morning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October. The battle began in a thick fog, rendering dispositions very </w:t>
      </w:r>
      <w:r>
        <w:rPr>
          <w:rFonts w:ascii="Times New Roman" w:eastAsia="Times New Roman" w:hAnsi="Times New Roman" w:cs="Times New Roman"/>
          <w:color w:val="000000"/>
          <w:spacing w:val="0"/>
          <w:w w:val="100"/>
          <w:position w:val="0"/>
          <w:shd w:val="clear" w:color="auto" w:fill="auto"/>
          <w:lang w:val="en-US" w:eastAsia="en-US" w:bidi="en-US"/>
        </w:rPr>
        <w:t xml:space="preserve">difficult, </w:t>
      </w:r>
      <w:r>
        <w:rPr>
          <w:rFonts w:ascii="Times New Roman" w:eastAsia="Times New Roman" w:hAnsi="Times New Roman" w:cs="Times New Roman"/>
          <w:color w:val="000000"/>
          <w:spacing w:val="0"/>
          <w:w w:val="100"/>
          <w:position w:val="0"/>
          <w:shd w:val="clear" w:color="auto" w:fill="auto"/>
          <w:lang w:val="en-US" w:eastAsia="en-US" w:bidi="en-US"/>
        </w:rPr>
        <w:t>and victory fell to the Prussians, principally owing to the tenacity displayed by their infantry in a series of disconnected local engagements. The nature of the ground rendered pursuit impossible, and the losses on both sides were approximately equal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viz. 30oo men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but the result sealed the fate of the Saxons, who after a few half-hearted attempts to escape from their entrenchments, surrendered on the 14th of October, and were taken over bodily into the Prussian service. Prussian administrators were appointed to govern the captured country and the troops took up winter quarters.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Campaign of 1757.</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Coalition had undertaken to pro- vide 500,000 men against Prussia, but at the beginning of the year only 132,000 Austrians stood ready for action in northern Bohemia. Against these the king was organizing some 250,000, 45,000 of whom were paid for by British subsidies and disposed to cover Hanover from a French attack. After leaving detachments to guard his other frontiers, Frederick was able to take the field with nearly 150,000 men, but these also were scattered to guard a frontier some 200 m. in length</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left wing in Silesia under Schwerin and the duke of </w:t>
      </w:r>
      <w:r>
        <w:rPr>
          <w:rFonts w:ascii="Times New Roman" w:eastAsia="Times New Roman" w:hAnsi="Times New Roman" w:cs="Times New Roman"/>
          <w:color w:val="000000"/>
          <w:spacing w:val="0"/>
          <w:w w:val="100"/>
          <w:position w:val="0"/>
          <w:shd w:val="clear" w:color="auto" w:fill="auto"/>
          <w:lang w:val="de-DE" w:eastAsia="de-DE" w:bidi="de-DE"/>
        </w:rPr>
        <w:t xml:space="preserve">Brunswick-Bevern,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and right under the king. In April the operations began. Schwerin and </w:t>
      </w:r>
      <w:r>
        <w:rPr>
          <w:rFonts w:ascii="Times New Roman" w:eastAsia="Times New Roman" w:hAnsi="Times New Roman" w:cs="Times New Roman"/>
          <w:color w:val="000000"/>
          <w:spacing w:val="0"/>
          <w:w w:val="100"/>
          <w:position w:val="0"/>
          <w:shd w:val="clear" w:color="auto" w:fill="auto"/>
          <w:lang w:val="de-DE" w:eastAsia="de-DE" w:bidi="de-DE"/>
        </w:rPr>
        <w:t xml:space="preserve">Bevern </w:t>
      </w:r>
      <w:r>
        <w:rPr>
          <w:rFonts w:ascii="Times New Roman" w:eastAsia="Times New Roman" w:hAnsi="Times New Roman" w:cs="Times New Roman"/>
          <w:color w:val="000000"/>
          <w:spacing w:val="0"/>
          <w:w w:val="100"/>
          <w:position w:val="0"/>
          <w:shd w:val="clear" w:color="auto" w:fill="auto"/>
          <w:lang w:val="en-US" w:eastAsia="en-US" w:bidi="en-US"/>
        </w:rPr>
        <w:t xml:space="preserve">crossed the mountains into Bohemia and united at Jung Bunzlau, the Austrians falling back before them and surrendering their magazines. The king marched from </w:t>
      </w:r>
      <w:r>
        <w:rPr>
          <w:rFonts w:ascii="Times New Roman" w:eastAsia="Times New Roman" w:hAnsi="Times New Roman" w:cs="Times New Roman"/>
          <w:color w:val="000000"/>
          <w:spacing w:val="0"/>
          <w:w w:val="100"/>
          <w:position w:val="0"/>
          <w:shd w:val="clear" w:color="auto" w:fill="auto"/>
          <w:lang w:val="de-DE" w:eastAsia="de-DE" w:bidi="de-DE"/>
        </w:rPr>
        <w:t xml:space="preserve">Pirna </w:t>
      </w:r>
      <w:r>
        <w:rPr>
          <w:rFonts w:ascii="Times New Roman" w:eastAsia="Times New Roman" w:hAnsi="Times New Roman" w:cs="Times New Roman"/>
          <w:color w:val="000000"/>
          <w:spacing w:val="0"/>
          <w:w w:val="100"/>
          <w:position w:val="0"/>
          <w:shd w:val="clear" w:color="auto" w:fill="auto"/>
          <w:lang w:val="en-US" w:eastAsia="en-US" w:bidi="en-US"/>
        </w:rPr>
        <w:t>and Prince Maurice of Dessau from Zwickau on Prague, at which point the various Austrian commands were ordered to concentrate. On the morning of the 5th the whole army, except a column under Field Marshal Daun, was united here under Prince Charles of Lorraine, and the king, realizing the impossibility of</w:t>
      </w:r>
    </w:p>
    <w:sectPr>
      <w:footnotePr>
        <w:pos w:val="pageBottom"/>
        <w:numFmt w:val="decimal"/>
        <w:numRestart w:val="continuous"/>
      </w:footnotePr>
      <w:pgSz w:w="12240" w:h="15840"/>
      <w:pgMar w:top="939" w:left="990" w:right="824"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