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continuance of works of internal improvement at public expense, although this policy had already plunged the state into financial embarrassment. His administration was disturbed by the anti-rent agitation and by the M'Leod incident growing out of the Canadian rebellion of 1837.@@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During this period he attracted much attention by his liberal and humane policy, promoting prison reform, and proposing to admit Roman Catholic and foreign teachers into the public schools of the state. His refusal soon after his inauguration to honour the requisition •of the governor of Virginia for three persons charged with assisting a slave to escape from Norfolk, provoked retaliatory measures by the Virginia legislature, in which Mississippi and South Carolina soon joined. Laws were also passed during his term putting obstacles in the way of recovering fugitive slaves. Seward soon became recognized as the leader of the anti-slavery Whigs. He was one of the earliest political opponents of slavery, as distinguished from the radical Abolitionists, or the followers of William Lloyd Garrison, who eschewed politics and devoted themselves to a moral agitation.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retiring from office Seward returned to the practice of law. His reputation was made in four great criminal cases—those of Abel F. Fitch and others, of Freeman, of Wyatt and of Van Zandt—the last-named bringing him especially the goodwill of opponents of slavery. Toward the end of his career at the bar, however, he changed from a general practitioner to a patent lawyer, and as such had a lucrative practice.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Whigs secured a momentary control of the state legislature in 1849 they sent Seward to the United States Senate. The antagonism between free labour and slave labour became the theme of many of his speeches. In his first set speech in the Senate, on the 11th of March 1850, in opposing the pending compromise measures, he attracted the attention of the whole country by his assertion that “ there is a higher law than the constitution ” regulating “ our authority over the domain ”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Territories). When the Democrats, however, declared such language incendiary he tried to explain it away, and by so doing offended his friends without appeasing his opponents. In a speech at Rochester, New York, in 1858 he made the famous statement that there was “ an irrepressible conflict between opposing and enduring forces, and it means that the United States must and will, sooner or later, become either entirely a slave-holding nation or entirely a free-labour nation.” Although this idea had often been expressed by others, and by Seward himself in his speech of 1848, yet he was severely criticized, and four days later he sought to render this statement innocuous also.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election of 1852 Seward supported General Winfield Scott, but not his party platform, because it declared the Compromise of 1850 a finality. He naturally opposed the Kansas- Nebraska Bill of 1854, which repealed the Missouri Compromise and established the principle of popular sovereignty in the Territories. Subsequently he actively supported in the Senate the free-state cause in Kansas. In 1854-1855, when it became evident that the Whig party in the North was moribund, Seward helped to lead its scattered remnants into the Republican fold. As the recognized leader of the new party, his nomination by the Republicans for the presidency in 1856 and in 1860 was regarded as certain; but in each instance he was put aside for another. The heterogeneous elements of the new organization could not be made to unite on a man who for so many years had devoted his energies to purely Whig measures, and he was considered less “available*” than Fremont in 1856 and than Lincoln in 1860. After Lincoln was elected in 1860 he chose Seward for his secretary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state. The new president was a man comparatively little known outside the state of Illinois, and many of his supporters, doubtful of his ability to deal with the difficult problems of 1861, looked to Seward as the most experienced man of the administration and the one who should direct its policy. Seward himself, apparently sharing these views, although not out of vanity, at first possessed an unbounded confidence in his ability to influence the president and his cabinet. He believed that the Union could be saved without a war, and that a policy of delay would prevent the secession of the border states, which in turn would gradually coax their more southern neighbours back into their proper relations with the Federal government. In informal conferences with commissioners from the seceded states he assured them that Fort Sumter should be speedily evacuated. Finding himself overruled by the war party in the cabinet, on the 1st of April 1861, Seward suggested a war of all America against most of Europe, with himself as the director of the enterprise. The conduct of Spain toward Santo Domingo and of France toward Mexico, and the alleged attitude of England and Russia toward the seceded states were to be the grounds for precipitating this gigantic conflict; and agents were to be sent into Canada, Mexico and Central America to arouse a spirit of hostility to European intervention. Dangers from abroad would destroy the centrifugal forces at home, and the Union would be saved. When this proposal was quietly put aside by the president, and Seward perceived in Lincoln a chief-executive in fact as well as in name, he dropped into his proper place, and as secretary of state rendered services of inestimable value to the nation. To prevent foreign states from giving official recognition to the Confederacy was the task of the hour, and in this he was successful. While he did not succeed in preventing the French occupation of Mexico or the escape of the Confederate cruiser “ Alabama ’’ from England, his diplomacy prepared the way for a future adjust</w:t>
        <w:softHyphen/>
        <w:t>ment satisfactory to the United States of the difficulties with these powers. While his treaty with Lord Lyons in 1862 for the suppression of the slave trade conceded to England the right of search to a limited extent in African and Cuban waters, he secured a similar concession for American war vessels from the British government, and by his course in the Trent Affair he virtually committed Great Britain to the American attitude with regard to this right.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5th of April 1865 Seward was thrown from his carriage and severely injured. Nine days later, while lying ill at his home at Washington, he was attacked by one Lewis Powell, alias Payne, a fellow-conspirator of John Wilkes Booth, at the same time that Lincoln was assassinated. The secretary’s son, Frederick W. Seward, and three other persons who came to his assistance, were also wounded by the assailant. Seward’s wife, an invalid, received such a shock that she died within two months, and his only daughter, who witnessed the assault, never recovered from the effects of the scene and died within the year. Seward gradually regained his health, and remained in the cabinet of President Johnson until the expiration of his term in 1869. In the struggle between the Executive and Congress over the method of reconstructing the Southern States, Seward sided with Johnson and thus shared some of the obloquy bestowed upon that unfortunate president. His greatest work in this period was the purchase of Alaska from Russia, in 1867. He also negotiated treaties for the purchase of the Danish West Indies, the Bay of Samana, and for American control of the isthmus of Panama; but these were not ratified by the Senate. After returning to private life, Seward spent two years and a half in travel and died at Auburn on the 10th of October 1872.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son, </w:t>
      </w:r>
      <w:r>
        <w:rPr>
          <w:rFonts w:ascii="Times New Roman" w:eastAsia="Times New Roman" w:hAnsi="Times New Roman" w:cs="Times New Roman"/>
          <w:smallCaps/>
          <w:color w:val="000000"/>
          <w:spacing w:val="0"/>
          <w:w w:val="100"/>
          <w:position w:val="0"/>
          <w:shd w:val="clear" w:color="auto" w:fill="auto"/>
          <w:lang w:val="en-US" w:eastAsia="en-US" w:bidi="en-US"/>
        </w:rPr>
        <w:t>Frederick William Seward,</w:t>
      </w:r>
      <w:r>
        <w:rPr>
          <w:rFonts w:ascii="Times New Roman" w:eastAsia="Times New Roman" w:hAnsi="Times New Roman" w:cs="Times New Roman"/>
          <w:color w:val="000000"/>
          <w:spacing w:val="0"/>
          <w:w w:val="100"/>
          <w:position w:val="0"/>
          <w:shd w:val="clear" w:color="auto" w:fill="auto"/>
          <w:lang w:val="en-US" w:eastAsia="en-US" w:bidi="en-US"/>
        </w:rPr>
        <w:t xml:space="preserve"> was born in Auburn, New York, on the 8th of July 1830, graduated at Union College in 1849 and was admitted to the bar at Rochester, N.Y., in 1851. From 1851 to 1861 he was one of the editors and owners of the Albany </w:t>
      </w:r>
      <w:r>
        <w:rPr>
          <w:rFonts w:ascii="Times New Roman" w:eastAsia="Times New Roman" w:hAnsi="Times New Roman" w:cs="Times New Roman"/>
          <w:i/>
          <w:iCs/>
          <w:color w:val="000000"/>
          <w:spacing w:val="0"/>
          <w:w w:val="100"/>
          <w:position w:val="0"/>
          <w:shd w:val="clear" w:color="auto" w:fill="auto"/>
          <w:lang w:val="en-US" w:eastAsia="en-US" w:bidi="en-US"/>
        </w:rPr>
        <w:t>Evening Journal,</w:t>
      </w:r>
      <w:r>
        <w:rPr>
          <w:rFonts w:ascii="Times New Roman" w:eastAsia="Times New Roman" w:hAnsi="Times New Roman" w:cs="Times New Roman"/>
          <w:color w:val="000000"/>
          <w:spacing w:val="0"/>
          <w:w w:val="100"/>
          <w:position w:val="0"/>
          <w:shd w:val="clear" w:color="auto" w:fill="auto"/>
          <w:lang w:val="en-US" w:eastAsia="en-US" w:bidi="en-US"/>
        </w:rPr>
        <w:t xml:space="preserve"> and during his father’s term at the head of the State Department he was assistant secretary of state. He served in the New York Assembly in 1875, and from 1877 to 1881 was again assistant secretary of state. After 1881 he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1837 the vessel “ Caroline,” which had been used by the Canadian insurgents, was seized by the Canadian authorities in American territory and was destroyed. In 1840 one Alexander M'Leod, a British subject then in New York, asserted that he had aided in the capture; he was promptly arrested and was held for trial on a charge of murder. The British minister demanded from the national government M'Leod's release, but his case was in the New York courts, over which the national government has no jurisdiction. In the trial M'Leod proved an alibi, was acquitted (October 1841), and a serious international complication was thus averted.</w:t>
      </w:r>
    </w:p>
    <w:p>
      <w:pPr>
        <w:widowControl w:val="0"/>
        <w:spacing w:line="1" w:lineRule="exact"/>
      </w:pPr>
    </w:p>
    <w:sectPr>
      <w:footnotePr>
        <w:pos w:val="pageBottom"/>
        <w:numFmt w:val="decimal"/>
        <w:numRestart w:val="continuous"/>
      </w:footnotePr>
      <w:type w:val="continuous"/>
      <w:pgSz w:w="12240" w:h="15840"/>
      <w:pgMar w:top="869" w:left="887" w:right="978" w:bottom="6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