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entry into Imola in 1477 Caterina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went to Rome with her husband, who, with the help of the pope, wrested the lordship of Forlì from the Ordelaffi. Riario, by means of many crimes, for which his wife seems to have blamed him, succeeded in accumu</w:t>
        <w:softHyphen/>
        <w:t>lating great wealth, and on the death of Sixtus in August 1484, he sent Caterina to Rome to occupy the castle of St Angelo, which she defended gallantly until, on the 25th of October, she surrendered it by his order to the Sacred College. They then returned to their fiefs of Imola and Forli, where they tried to win the favour of the people by erecting magnificent public buildings and churches and by abolishing taxes; but want of money obliged them to levy the taxes once more, which caused dissatisfaction. Riario’s enemies conspired against him with a view to making Franceschetto Cybò, nephew of Pope Innocent VIII., lord of Imola and Forlì in his stead. Riario thereupon instituted a system of persecution, in which Caterina was impli</w:t>
        <w:softHyphen/>
        <w:t>cated, against all whom he suspected of treachery. In 1488 he was murdered by three conspirators, his palace was sacked, and his wife and children were taken prisoners. The castle of Forlì, however, held out in Caterina’s interest, and every induce</w:t>
        <w:softHyphen/>
        <w:t xml:space="preserve">ment and threat to make her order its surrender proved useless; having managed to escape from her captors she penetrated into the castle, whence she threatened to bombard the city, refusing to come to terms even when the besiegers threatened to murder her children. With the assistance of Lodovico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 xml:space="preserve">Moro she was able to defeat her enemies and to regain possession of all her dominions; she wreaked vengeance on those who had opposed her and re-established her power. Being now a widow she had several lovers, and by one of them, Giacomo Feo, whom she afterwards married, she had a son. Feo, who made himself hated for his cruelty and insolence, was murdered before the eyes of his wife in August 1495; Caterina had all the conspirators and their families, including the women and children, massacred. She established friendly relations with the new pope, Alexander VI., and with the Florentines, whose ambassador, Giovanni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she secretly married in 1496. Giovanni died in 1498, but Caterina managed with the aid of Lodovico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 xml:space="preserve">Moro and of the Florentines to save her dominions from the attacks of the Venetians. Alexander VI., however, angered at her refusal to agree to a union between his daughter Lucrezia Borgia and her son Ottaviano, and coveting her territories as well as the rest of Romagna for his son </w:t>
      </w:r>
      <w:r>
        <w:rPr>
          <w:rFonts w:ascii="Times New Roman" w:eastAsia="Times New Roman" w:hAnsi="Times New Roman" w:cs="Times New Roman"/>
          <w:color w:val="000000"/>
          <w:spacing w:val="0"/>
          <w:w w:val="100"/>
          <w:position w:val="0"/>
          <w:shd w:val="clear" w:color="auto" w:fill="auto"/>
          <w:lang w:val="fr-FR" w:eastAsia="fr-FR" w:bidi="fr-FR"/>
        </w:rPr>
        <w:t xml:space="preserve">Cesare, </w:t>
      </w:r>
      <w:r>
        <w:rPr>
          <w:rFonts w:ascii="Times New Roman" w:eastAsia="Times New Roman" w:hAnsi="Times New Roman" w:cs="Times New Roman"/>
          <w:color w:val="000000"/>
          <w:spacing w:val="0"/>
          <w:w w:val="100"/>
          <w:position w:val="0"/>
          <w:shd w:val="clear" w:color="auto" w:fill="auto"/>
          <w:lang w:val="en-US" w:eastAsia="en-US" w:bidi="en-US"/>
        </w:rPr>
        <w:t xml:space="preserve">issued a bull on the 9th of March 1499, declaring that the house of Riario had forfeited the lordship of Imola and Forlì and conferring those fiefs on </w:t>
      </w:r>
      <w:r>
        <w:rPr>
          <w:rFonts w:ascii="Times New Roman" w:eastAsia="Times New Roman" w:hAnsi="Times New Roman" w:cs="Times New Roman"/>
          <w:color w:val="000000"/>
          <w:spacing w:val="0"/>
          <w:w w:val="100"/>
          <w:position w:val="0"/>
          <w:shd w:val="clear" w:color="auto" w:fill="auto"/>
          <w:lang w:val="fr-FR" w:eastAsia="fr-FR" w:bidi="fr-FR"/>
        </w:rPr>
        <w:t xml:space="preserve">Cesare </w:t>
      </w:r>
      <w:r>
        <w:rPr>
          <w:rFonts w:ascii="Times New Roman" w:eastAsia="Times New Roman" w:hAnsi="Times New Roman" w:cs="Times New Roman"/>
          <w:color w:val="000000"/>
          <w:spacing w:val="0"/>
          <w:w w:val="100"/>
          <w:position w:val="0"/>
          <w:shd w:val="clear" w:color="auto" w:fill="auto"/>
          <w:lang w:val="en-US" w:eastAsia="en-US" w:bidi="en-US"/>
        </w:rPr>
        <w:t>Borgia. The latter began his campaign of conquest with Caterina Sforza’s dominions and attacked her with his whole army, reinforced by 14,000 French troops and by Louis XII. Caterina placed her children in safety and took strenuous measures for defence. The castle of Imola was held by her henchman Dionigi Naldi of Brisighella, until resistance being no longer possible he sur</w:t>
        <w:softHyphen/>
        <w:t xml:space="preserve">rendered (December 1499) with the honours of war. Caterina absolved the citizens of Forlì from their oath of fealty, and defended herself in the citadel. She repeatedly beat back the Borgia’s onslaughts and refused all his offers of peace. Finally when the situation had become untenable and having in vain given orders for the magazine to be blown up, she surrendered, after a battle in which large numbers were killed on both sides, to Antoine Bissey, </w:t>
      </w:r>
      <w:r>
        <w:rPr>
          <w:rFonts w:ascii="Times New Roman" w:eastAsia="Times New Roman" w:hAnsi="Times New Roman" w:cs="Times New Roman"/>
          <w:i/>
          <w:iCs/>
          <w:color w:val="000000"/>
          <w:spacing w:val="0"/>
          <w:w w:val="100"/>
          <w:position w:val="0"/>
          <w:shd w:val="clear" w:color="auto" w:fill="auto"/>
          <w:lang w:val="fr-FR" w:eastAsia="fr-FR" w:bidi="fr-FR"/>
        </w:rPr>
        <w:t>bailli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Dijon, entrusting herself to the honour of France (January 12, 1500). Thus her life was spared, but she was not saved from the outrages of the treacherous </w:t>
      </w:r>
      <w:r>
        <w:rPr>
          <w:rFonts w:ascii="Times New Roman" w:eastAsia="Times New Roman" w:hAnsi="Times New Roman" w:cs="Times New Roman"/>
          <w:color w:val="000000"/>
          <w:spacing w:val="0"/>
          <w:w w:val="100"/>
          <w:position w:val="0"/>
          <w:shd w:val="clear" w:color="auto" w:fill="auto"/>
          <w:lang w:val="fr-FR" w:eastAsia="fr-FR" w:bidi="fr-FR"/>
        </w:rPr>
        <w:t xml:space="preserve">Cesare; </w:t>
      </w:r>
      <w:r>
        <w:rPr>
          <w:rFonts w:ascii="Times New Roman" w:eastAsia="Times New Roman" w:hAnsi="Times New Roman" w:cs="Times New Roman"/>
          <w:color w:val="000000"/>
          <w:spacing w:val="0"/>
          <w:w w:val="100"/>
          <w:position w:val="0"/>
          <w:shd w:val="clear" w:color="auto" w:fill="auto"/>
          <w:lang w:val="en-US" w:eastAsia="en-US" w:bidi="en-US"/>
        </w:rPr>
        <w:t xml:space="preserve">she was afterwards taken to Rome and held a prisoner for a year in the castle of St Angelo, whence she was liberated by the same </w:t>
      </w:r>
      <w:r>
        <w:rPr>
          <w:rFonts w:ascii="Times New Roman" w:eastAsia="Times New Roman" w:hAnsi="Times New Roman" w:cs="Times New Roman"/>
          <w:i/>
          <w:iCs/>
          <w:color w:val="000000"/>
          <w:spacing w:val="0"/>
          <w:w w:val="100"/>
          <w:position w:val="0"/>
          <w:shd w:val="clear" w:color="auto" w:fill="auto"/>
          <w:lang w:val="fr-FR" w:eastAsia="fr-FR" w:bidi="fr-FR"/>
        </w:rPr>
        <w:t>bailli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Dijon to whom she had surrendered at Forlì. She took refuge in Florence to escape from persecution from the Borgias, and the power of that sinister family having collapsed on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Alexander </w:t>
      </w:r>
      <w:r>
        <w:rPr>
          <w:rFonts w:ascii="Times New Roman" w:eastAsia="Times New Roman" w:hAnsi="Times New Roman" w:cs="Times New Roman"/>
          <w:color w:val="000000"/>
          <w:spacing w:val="0"/>
          <w:w w:val="100"/>
          <w:position w:val="0"/>
          <w:shd w:val="clear" w:color="auto" w:fill="auto"/>
          <w:lang w:val="en-US" w:eastAsia="en-US" w:bidi="en-US"/>
        </w:rPr>
        <w:t xml:space="preserve">VI. in 1503, she attempted to regain possession of her dominions. In this she failed owing to the hostility of her brothers-in-law, Pierfrancesco and Lorenzo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and as they wished to get her son Giovanni de' Medici (afterwards Giovanni dalle </w:t>
      </w:r>
      <w:r>
        <w:rPr>
          <w:rFonts w:ascii="Times New Roman" w:eastAsia="Times New Roman" w:hAnsi="Times New Roman" w:cs="Times New Roman"/>
          <w:color w:val="000000"/>
          <w:spacing w:val="0"/>
          <w:w w:val="100"/>
          <w:position w:val="0"/>
          <w:shd w:val="clear" w:color="auto" w:fill="auto"/>
          <w:lang w:val="de-DE" w:eastAsia="de-DE" w:bidi="de-DE"/>
        </w:rPr>
        <w:t xml:space="preserve">Bande </w:t>
      </w:r>
      <w:r>
        <w:rPr>
          <w:rFonts w:ascii="Times New Roman" w:eastAsia="Times New Roman" w:hAnsi="Times New Roman" w:cs="Times New Roman"/>
          <w:color w:val="000000"/>
          <w:spacing w:val="0"/>
          <w:w w:val="100"/>
          <w:position w:val="0"/>
          <w:shd w:val="clear" w:color="auto" w:fill="auto"/>
          <w:lang w:val="en-US" w:eastAsia="en-US" w:bidi="en-US"/>
        </w:rPr>
        <w:t>Nere) into their hands, she took refuge with him in the convent of Annalena, where she died on the 20th of May 1509.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Buriel,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Vita di Caterina Sforza-Riario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(Bologna, 1785);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Oliva,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Vita 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Sforza,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signora di Forlì</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(Forlì, 1821); Pietro Desiderio Pesolini Dall’ Onda,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Caterina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Sforza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(Rome, 1893); English translation by P. Sylvester (1898). This is the best and most complete work on the subject; E. M. </w:t>
      </w:r>
      <w:r>
        <w:rPr>
          <w:rFonts w:ascii="Times New Roman" w:eastAsia="Times New Roman" w:hAnsi="Times New Roman" w:cs="Times New Roman"/>
          <w:color w:val="000000"/>
          <w:spacing w:val="0"/>
          <w:w w:val="100"/>
          <w:position w:val="0"/>
          <w:sz w:val="17"/>
          <w:szCs w:val="17"/>
          <w:shd w:val="clear" w:color="auto" w:fill="auto"/>
          <w:lang w:val="fr-FR" w:eastAsia="fr-FR" w:bidi="fr-FR"/>
        </w:rPr>
        <w:t>de Vogüé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Histoire et poésie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1898) ; and Ernesto Masi, “ 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Sforza,”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Nuova Antotogia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May 1 and May 15, 1893.</w:t>
      </w:r>
    </w:p>
    <w:p>
      <w:pPr>
        <w:pStyle w:val="Style3"/>
        <w:keepNext w:val="0"/>
        <w:keepLines w:val="0"/>
        <w:widowControl w:val="0"/>
        <w:shd w:val="clear" w:color="auto" w:fill="auto"/>
        <w:tabs>
          <w:tab w:pos="308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SGAMBATI, GIOVANNI (1843-</w:t>
        <w:tab/>
        <w:t>), Italian composer, was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born in Rome on the 28th of May 1843, of an Italian father and an English mother. His early education took place at Trevi, in Umbria, and there he wrote some church music, and obtained experience as a singer and conductor. In i860 he settled in Rome, and definitely took up the work of winning acceptance for the best German music, which was at that time neglected in Italy. The influence and support of Liszt, who was in Rome from 1861, was naturally of the greatest advantage to him, and concerts were given in which Sgambati conducted as well as played the piano. His composition, of this period (1864-1865) included a quartet, two piano quintets, an octet, and an overture. He conducted Liszt’s </w:t>
      </w:r>
      <w:r>
        <w:rPr>
          <w:rFonts w:ascii="Times New Roman" w:eastAsia="Times New Roman" w:hAnsi="Times New Roman" w:cs="Times New Roman"/>
          <w:i/>
          <w:iCs/>
          <w:color w:val="000000"/>
          <w:spacing w:val="0"/>
          <w:w w:val="100"/>
          <w:position w:val="0"/>
          <w:shd w:val="clear" w:color="auto" w:fill="auto"/>
          <w:lang w:val="en-US" w:eastAsia="en-US" w:bidi="en-US"/>
        </w:rPr>
        <w:t>Dante</w:t>
      </w:r>
      <w:r>
        <w:rPr>
          <w:rFonts w:ascii="Times New Roman" w:eastAsia="Times New Roman" w:hAnsi="Times New Roman" w:cs="Times New Roman"/>
          <w:color w:val="000000"/>
          <w:spacing w:val="0"/>
          <w:w w:val="100"/>
          <w:position w:val="0"/>
          <w:shd w:val="clear" w:color="auto" w:fill="auto"/>
          <w:lang w:val="en-US" w:eastAsia="en-US" w:bidi="en-US"/>
        </w:rPr>
        <w:t xml:space="preserve"> symphony in 1866, and made the acquaintance of Wagner’s music for the first time at Munich, whither he travelled in Liszt’s company. His first album of songs appeared in 1870, and his first symphony was played at the Quirinal in 1881; this, as well as a piano concerto, was performed in the course of his first visit to England in 1882; and at his second visit, in 1891,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Sinfonia epitalamio </w:t>
      </w:r>
      <w:r>
        <w:rPr>
          <w:rFonts w:ascii="Times New Roman" w:eastAsia="Times New Roman" w:hAnsi="Times New Roman" w:cs="Times New Roman"/>
          <w:color w:val="000000"/>
          <w:spacing w:val="0"/>
          <w:w w:val="100"/>
          <w:position w:val="0"/>
          <w:shd w:val="clear" w:color="auto" w:fill="auto"/>
          <w:lang w:val="en-US" w:eastAsia="en-US" w:bidi="en-US"/>
        </w:rPr>
        <w:t>was given at the Philharmonic. His most extensive work, a Requiem Mass, was performed in Rome 1901. His many piano</w:t>
        <w:softHyphen/>
        <w:t>forte works have won permanent success; but his influence on Italian musical taste has been perhaps greater than the merits of his compositions, which, though often poetical and generally effective, are often slight in style.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SHABATS (also written </w:t>
      </w:r>
      <w:r>
        <w:rPr>
          <w:rFonts w:ascii="Times New Roman" w:eastAsia="Times New Roman" w:hAnsi="Times New Roman" w:cs="Times New Roman"/>
          <w:i/>
          <w:iCs/>
          <w:color w:val="000000"/>
          <w:spacing w:val="0"/>
          <w:w w:val="100"/>
          <w:position w:val="0"/>
          <w:shd w:val="clear" w:color="auto" w:fill="auto"/>
          <w:lang w:val="en-US" w:eastAsia="en-US" w:bidi="en-US"/>
        </w:rPr>
        <w:t>Šhabatz and Šabac),</w:t>
      </w:r>
      <w:r>
        <w:rPr>
          <w:rFonts w:ascii="Times New Roman" w:eastAsia="Times New Roman" w:hAnsi="Times New Roman" w:cs="Times New Roman"/>
          <w:color w:val="000000"/>
          <w:spacing w:val="0"/>
          <w:w w:val="100"/>
          <w:position w:val="0"/>
          <w:shd w:val="clear" w:color="auto" w:fill="auto"/>
          <w:lang w:val="en-US" w:eastAsia="en-US" w:bidi="en-US"/>
        </w:rPr>
        <w:t xml:space="preserve"> a town in Servia, capital of the Drina department, on the right bank of the river Save. Pop. (1900) 12,072. It has a medieval castle, built in 1470 by Sultan Mahommed II., to facilitate the incursion of the Turks into Slavonia, which lies on the left bank of the river. It is the principal commercial town of north-western Servia, exporting cereals, prunes, cattle and pigs to Hungary. It is well known for the excellent white honey which comes from its neighbourhood. The district is rich in lime-trees. Shabats is the seat of a bishop, of the district prefecture, and of a tribunal. It has a college and a library, and a garrison occupies the old fort. The people of Shabats have the reputation of being the wittiest in Servia.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 the name given to certain migratory species of herrings </w:t>
      </w:r>
      <w:r>
        <w:rPr>
          <w:rFonts w:ascii="Times New Roman" w:eastAsia="Times New Roman" w:hAnsi="Times New Roman" w:cs="Times New Roman"/>
          <w:i/>
          <w:iCs/>
          <w:color w:val="000000"/>
          <w:spacing w:val="0"/>
          <w:w w:val="100"/>
          <w:position w:val="0"/>
          <w:shd w:val="clear" w:color="auto" w:fill="auto"/>
          <w:lang w:val="en-US" w:eastAsia="en-US" w:bidi="en-US"/>
        </w:rPr>
        <w:t>(Clupea),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distinguished from the herrings proper by the total absence of teeth in the jaws. Two species occur in Europe, much resembling each other—one commonly called allis shad </w:t>
      </w:r>
      <w:r>
        <w:rPr>
          <w:rFonts w:ascii="Times New Roman" w:eastAsia="Times New Roman" w:hAnsi="Times New Roman" w:cs="Times New Roman"/>
          <w:i/>
          <w:iCs/>
          <w:color w:val="000000"/>
          <w:spacing w:val="0"/>
          <w:w w:val="100"/>
          <w:position w:val="0"/>
          <w:shd w:val="clear" w:color="auto" w:fill="auto"/>
          <w:lang w:val="en-US" w:eastAsia="en-US" w:bidi="en-US"/>
        </w:rPr>
        <w:t>(Clupea alosa or Alosa vulgaris),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known as twaite shad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(Clupea flnta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Alosa finta).</w:t>
      </w:r>
      <w:r>
        <w:rPr>
          <w:rFonts w:ascii="Times New Roman" w:eastAsia="Times New Roman" w:hAnsi="Times New Roman" w:cs="Times New Roman"/>
          <w:color w:val="000000"/>
          <w:spacing w:val="0"/>
          <w:w w:val="100"/>
          <w:position w:val="0"/>
          <w:shd w:val="clear" w:color="auto" w:fill="auto"/>
          <w:lang w:val="en-US" w:eastAsia="en-US" w:bidi="en-US"/>
        </w:rPr>
        <w:t xml:space="preserve"> Both, like the majority of herrings, are greenish on the back and silvery on the sides, but they are distinguished from the other European species </w:t>
      </w:r>
      <w:r>
        <w:rPr>
          <w:rFonts w:ascii="Times New Roman" w:eastAsia="Times New Roman" w:hAnsi="Times New Roman" w:cs="Times New Roman"/>
          <w:i/>
          <w:iCs/>
          <w:color w:val="000000"/>
          <w:spacing w:val="0"/>
          <w:w w:val="100"/>
          <w:position w:val="0"/>
          <w:shd w:val="clear" w:color="auto" w:fill="auto"/>
          <w:lang w:val="en-US" w:eastAsia="en-US" w:bidi="en-US"/>
        </w:rPr>
        <w:t>Clupea</w:t>
      </w:r>
      <w:r>
        <w:rPr>
          <w:rFonts w:ascii="Times New Roman" w:eastAsia="Times New Roman" w:hAnsi="Times New Roman" w:cs="Times New Roman"/>
          <w:color w:val="000000"/>
          <w:spacing w:val="0"/>
          <w:w w:val="100"/>
          <w:position w:val="0"/>
          <w:shd w:val="clear" w:color="auto" w:fill="auto"/>
          <w:lang w:val="en-US" w:eastAsia="en-US" w:bidi="en-US"/>
        </w:rPr>
        <w:t xml:space="preserve"> by the presence of a large blackish blotch behind the gill-opening, which is succeeded by a series of several other similar spots along the middle of the side of the body. So closely allied are these two fishes that their distinctness can be proved only by an examination of the gill-apparatus, the allis shad having from sixty to eighty very fine and long gill-rakers along the concave edge of the first branchial arch, whilst the twaite shad possesses from twenty-one to twenty-seven stout and stiff gill-rakers only. In their habits and geographical distribution also the two shads are similar. They inhabit the coasts of temperate Europe, the twaite shad being more numerous in the Mediterranean. While they are in salt water they live singly or in very small companies, but during May (the twaite shad some weeks later) they congregate, and in great numbers ascend large rivers, such as the Severn (and formerly the Thames), the Seine, the Rhine, the Nile, &amp;c., in order to deposit their spawn. A few weeks after they drop down the river, lean and exhausted, numbers floating dead on the surface, so that only a small proportion seem to regain the sea. At Elbeuf on the Seine above Rouen there was formerly a hatchery for the artificial</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