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allusion to Shakespeare is really intended. The material for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Troilus and Cressida </w:t>
      </w:r>
      <w:r>
        <w:rPr>
          <w:rFonts w:ascii="Times New Roman" w:eastAsia="Times New Roman" w:hAnsi="Times New Roman" w:cs="Times New Roman"/>
          <w:color w:val="000000"/>
          <w:spacing w:val="0"/>
          <w:w w:val="100"/>
          <w:position w:val="0"/>
          <w:shd w:val="clear" w:color="auto" w:fill="auto"/>
          <w:lang w:val="en-US" w:eastAsia="en-US" w:bidi="en-US"/>
        </w:rPr>
        <w:t xml:space="preserve">was taken by Shakespeare from Chaucer’s </w:t>
      </w:r>
      <w:r>
        <w:rPr>
          <w:rFonts w:ascii="Times New Roman" w:eastAsia="Times New Roman" w:hAnsi="Times New Roman" w:cs="Times New Roman"/>
          <w:i/>
          <w:iCs/>
          <w:color w:val="000000"/>
          <w:spacing w:val="0"/>
          <w:w w:val="100"/>
          <w:position w:val="0"/>
          <w:shd w:val="clear" w:color="auto" w:fill="auto"/>
          <w:lang w:val="en-US" w:eastAsia="en-US" w:bidi="en-US"/>
        </w:rPr>
        <w:t>Troilus and Criseyde,</w:t>
      </w:r>
      <w:r>
        <w:rPr>
          <w:rFonts w:ascii="Times New Roman" w:eastAsia="Times New Roman" w:hAnsi="Times New Roman" w:cs="Times New Roman"/>
          <w:color w:val="000000"/>
          <w:spacing w:val="0"/>
          <w:w w:val="100"/>
          <w:position w:val="0"/>
          <w:shd w:val="clear" w:color="auto" w:fill="auto"/>
          <w:lang w:val="en-US" w:eastAsia="en-US" w:bidi="en-US"/>
        </w:rPr>
        <w:t xml:space="preserve"> Caxton’s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Recuyell of the Historyes of Troye, </w:t>
      </w:r>
      <w:r>
        <w:rPr>
          <w:rFonts w:ascii="Times New Roman" w:eastAsia="Times New Roman" w:hAnsi="Times New Roman" w:cs="Times New Roman"/>
          <w:color w:val="000000"/>
          <w:spacing w:val="0"/>
          <w:w w:val="100"/>
          <w:position w:val="0"/>
          <w:shd w:val="clear" w:color="auto" w:fill="auto"/>
          <w:lang w:val="en-US" w:eastAsia="en-US" w:bidi="en-US"/>
        </w:rPr>
        <w:t>and Chapman’s Homer.</w:t>
      </w:r>
    </w:p>
    <w:p>
      <w:pPr>
        <w:pStyle w:val="Style3"/>
        <w:keepNext w:val="0"/>
        <w:keepLines w:val="0"/>
        <w:widowControl w:val="0"/>
        <w:shd w:val="clear" w:color="auto" w:fill="auto"/>
        <w:tabs>
          <w:tab w:pos="534"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w:t>
        <w:tab/>
        <w:t xml:space="preserve">It is almost wholly on grounds of style that </w:t>
      </w:r>
      <w:r>
        <w:rPr>
          <w:rFonts w:ascii="Times New Roman" w:eastAsia="Times New Roman" w:hAnsi="Times New Roman" w:cs="Times New Roman"/>
          <w:i/>
          <w:iCs/>
          <w:color w:val="000000"/>
          <w:spacing w:val="0"/>
          <w:w w:val="100"/>
          <w:position w:val="0"/>
          <w:shd w:val="clear" w:color="auto" w:fill="auto"/>
          <w:lang w:val="en-US" w:eastAsia="en-US" w:bidi="en-US"/>
        </w:rPr>
        <w:t>All’s Well that Ends Well</w:t>
      </w:r>
      <w:r>
        <w:rPr>
          <w:rFonts w:ascii="Times New Roman" w:eastAsia="Times New Roman" w:hAnsi="Times New Roman" w:cs="Times New Roman"/>
          <w:color w:val="000000"/>
          <w:spacing w:val="0"/>
          <w:w w:val="100"/>
          <w:position w:val="0"/>
          <w:shd w:val="clear" w:color="auto" w:fill="auto"/>
          <w:lang w:val="en-US" w:eastAsia="en-US" w:bidi="en-US"/>
        </w:rPr>
        <w:t xml:space="preserve"> is placed by most critics in or about 1602, and, as in the case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Troilus and Cressida, </w:t>
      </w:r>
      <w:r>
        <w:rPr>
          <w:rFonts w:ascii="Times New Roman" w:eastAsia="Times New Roman" w:hAnsi="Times New Roman" w:cs="Times New Roman"/>
          <w:color w:val="000000"/>
          <w:spacing w:val="0"/>
          <w:w w:val="100"/>
          <w:position w:val="0"/>
          <w:shd w:val="clear" w:color="auto" w:fill="auto"/>
          <w:lang w:val="en-US" w:eastAsia="en-US" w:bidi="en-US"/>
        </w:rPr>
        <w:t xml:space="preserve">it has been argued, though with little justification, that parts of the play are of considerably earlier date, and perhaps represent the </w:t>
      </w:r>
      <w:r>
        <w:rPr>
          <w:rFonts w:ascii="Times New Roman" w:eastAsia="Times New Roman" w:hAnsi="Times New Roman" w:cs="Times New Roman"/>
          <w:i/>
          <w:iCs/>
          <w:color w:val="000000"/>
          <w:spacing w:val="0"/>
          <w:w w:val="100"/>
          <w:position w:val="0"/>
          <w:shd w:val="clear" w:color="auto" w:fill="auto"/>
          <w:lang w:val="en-US" w:eastAsia="en-US" w:bidi="en-US"/>
        </w:rPr>
        <w:t>Love's Labour’s Won</w:t>
      </w:r>
      <w:r>
        <w:rPr>
          <w:rFonts w:ascii="Times New Roman" w:eastAsia="Times New Roman" w:hAnsi="Times New Roman" w:cs="Times New Roman"/>
          <w:color w:val="000000"/>
          <w:spacing w:val="0"/>
          <w:w w:val="100"/>
          <w:position w:val="0"/>
          <w:shd w:val="clear" w:color="auto" w:fill="auto"/>
          <w:lang w:val="en-US" w:eastAsia="en-US" w:bidi="en-US"/>
        </w:rPr>
        <w:t xml:space="preserve"> referred to by Meres. The story is derived from Boccaccio’s </w:t>
      </w:r>
      <w:r>
        <w:rPr>
          <w:rFonts w:ascii="Times New Roman" w:eastAsia="Times New Roman" w:hAnsi="Times New Roman" w:cs="Times New Roman"/>
          <w:i/>
          <w:iCs/>
          <w:color w:val="000000"/>
          <w:spacing w:val="0"/>
          <w:w w:val="100"/>
          <w:position w:val="0"/>
          <w:shd w:val="clear" w:color="auto" w:fill="auto"/>
          <w:lang w:val="en-US" w:eastAsia="en-US" w:bidi="en-US"/>
        </w:rPr>
        <w:t>Decameron</w:t>
      </w:r>
      <w:r>
        <w:rPr>
          <w:rFonts w:ascii="Times New Roman" w:eastAsia="Times New Roman" w:hAnsi="Times New Roman" w:cs="Times New Roman"/>
          <w:color w:val="000000"/>
          <w:spacing w:val="0"/>
          <w:w w:val="100"/>
          <w:position w:val="0"/>
          <w:shd w:val="clear" w:color="auto" w:fill="auto"/>
          <w:lang w:val="en-US" w:eastAsia="en-US" w:bidi="en-US"/>
        </w:rPr>
        <w:t xml:space="preserve"> through the medium of William Paynter’s </w:t>
      </w:r>
      <w:r>
        <w:rPr>
          <w:rFonts w:ascii="Times New Roman" w:eastAsia="Times New Roman" w:hAnsi="Times New Roman" w:cs="Times New Roman"/>
          <w:i/>
          <w:iCs/>
          <w:color w:val="000000"/>
          <w:spacing w:val="0"/>
          <w:w w:val="100"/>
          <w:position w:val="0"/>
          <w:shd w:val="clear" w:color="auto" w:fill="auto"/>
          <w:lang w:val="en-US" w:eastAsia="en-US" w:bidi="en-US"/>
        </w:rPr>
        <w:t>Palace of Pleasure</w:t>
      </w:r>
      <w:r>
        <w:rPr>
          <w:rFonts w:ascii="Times New Roman" w:eastAsia="Times New Roman" w:hAnsi="Times New Roman" w:cs="Times New Roman"/>
          <w:color w:val="000000"/>
          <w:spacing w:val="0"/>
          <w:w w:val="100"/>
          <w:position w:val="0"/>
          <w:shd w:val="clear" w:color="auto" w:fill="auto"/>
          <w:lang w:val="en-US" w:eastAsia="en-US" w:bidi="en-US"/>
        </w:rPr>
        <w:t xml:space="preserve"> (1566).</w:t>
      </w:r>
    </w:p>
    <w:p>
      <w:pPr>
        <w:pStyle w:val="Style3"/>
        <w:keepNext w:val="0"/>
        <w:keepLines w:val="0"/>
        <w:widowControl w:val="0"/>
        <w:shd w:val="clear" w:color="auto" w:fill="auto"/>
        <w:tabs>
          <w:tab w:pos="53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w:t>
        <w:tab/>
      </w:r>
      <w:r>
        <w:rPr>
          <w:rFonts w:ascii="Times New Roman" w:eastAsia="Times New Roman" w:hAnsi="Times New Roman" w:cs="Times New Roman"/>
          <w:i/>
          <w:iCs/>
          <w:color w:val="000000"/>
          <w:spacing w:val="0"/>
          <w:w w:val="100"/>
          <w:position w:val="0"/>
          <w:shd w:val="clear" w:color="auto" w:fill="auto"/>
          <w:lang w:val="en-US" w:eastAsia="en-US" w:bidi="en-US"/>
        </w:rPr>
        <w:t>Measure for Measure</w:t>
      </w:r>
      <w:r>
        <w:rPr>
          <w:rFonts w:ascii="Times New Roman" w:eastAsia="Times New Roman" w:hAnsi="Times New Roman" w:cs="Times New Roman"/>
          <w:color w:val="000000"/>
          <w:spacing w:val="0"/>
          <w:w w:val="100"/>
          <w:position w:val="0"/>
          <w:shd w:val="clear" w:color="auto" w:fill="auto"/>
          <w:lang w:val="en-US" w:eastAsia="en-US" w:bidi="en-US"/>
        </w:rPr>
        <w:t xml:space="preserve"> is believed to have been played at court on the 26th of December 1604. The evidence for this is to be found, partly in an extract made for Malone from official records now lost, and partly in a forged document, which may, however, rest upon genuine information, placed amongst the account-books of the Office of the Revels. If this is correct the play was probably produced when the theatres were reopened after the plague in 1604. The plot is taken from a story already used by George Whetstone, both in his play of </w:t>
      </w:r>
      <w:r>
        <w:rPr>
          <w:rFonts w:ascii="Times New Roman" w:eastAsia="Times New Roman" w:hAnsi="Times New Roman" w:cs="Times New Roman"/>
          <w:i/>
          <w:iCs/>
          <w:color w:val="000000"/>
          <w:spacing w:val="0"/>
          <w:w w:val="100"/>
          <w:position w:val="0"/>
          <w:shd w:val="clear" w:color="auto" w:fill="auto"/>
          <w:lang w:val="en-US" w:eastAsia="en-US" w:bidi="en-US"/>
        </w:rPr>
        <w:t>Promos and Cassandra</w:t>
      </w:r>
      <w:r>
        <w:rPr>
          <w:rFonts w:ascii="Times New Roman" w:eastAsia="Times New Roman" w:hAnsi="Times New Roman" w:cs="Times New Roman"/>
          <w:color w:val="000000"/>
          <w:spacing w:val="0"/>
          <w:w w:val="100"/>
          <w:position w:val="0"/>
          <w:shd w:val="clear" w:color="auto" w:fill="auto"/>
          <w:lang w:val="en-US" w:eastAsia="en-US" w:bidi="en-US"/>
        </w:rPr>
        <w:t xml:space="preserve"> (1578) and in his prose </w:t>
      </w:r>
      <w:r>
        <w:rPr>
          <w:rFonts w:ascii="Times New Roman" w:eastAsia="Times New Roman" w:hAnsi="Times New Roman" w:cs="Times New Roman"/>
          <w:i/>
          <w:iCs/>
          <w:color w:val="000000"/>
          <w:spacing w:val="0"/>
          <w:w w:val="100"/>
          <w:position w:val="0"/>
          <w:shd w:val="clear" w:color="auto" w:fill="auto"/>
          <w:lang w:val="en-US" w:eastAsia="en-US" w:bidi="en-US"/>
        </w:rPr>
        <w:t>Heptameron of Civil Discourses</w:t>
      </w:r>
      <w:r>
        <w:rPr>
          <w:rFonts w:ascii="Times New Roman" w:eastAsia="Times New Roman" w:hAnsi="Times New Roman" w:cs="Times New Roman"/>
          <w:color w:val="000000"/>
          <w:spacing w:val="0"/>
          <w:w w:val="100"/>
          <w:position w:val="0"/>
          <w:shd w:val="clear" w:color="auto" w:fill="auto"/>
          <w:lang w:val="en-US" w:eastAsia="en-US" w:bidi="en-US"/>
        </w:rPr>
        <w:t xml:space="preserve"> (1582), and borrowed by him from Giraldi Cinthio’s </w:t>
      </w:r>
      <w:r>
        <w:rPr>
          <w:rFonts w:ascii="Times New Roman" w:eastAsia="Times New Roman" w:hAnsi="Times New Roman" w:cs="Times New Roman"/>
          <w:i/>
          <w:iCs/>
          <w:color w:val="000000"/>
          <w:spacing w:val="0"/>
          <w:w w:val="100"/>
          <w:position w:val="0"/>
          <w:shd w:val="clear" w:color="auto" w:fill="auto"/>
          <w:lang w:val="en-US" w:eastAsia="en-US" w:bidi="en-US"/>
        </w:rPr>
        <w:t>Hecatommithi</w:t>
      </w:r>
      <w:r>
        <w:rPr>
          <w:rFonts w:ascii="Times New Roman" w:eastAsia="Times New Roman" w:hAnsi="Times New Roman" w:cs="Times New Roman"/>
          <w:color w:val="000000"/>
          <w:spacing w:val="0"/>
          <w:w w:val="100"/>
          <w:position w:val="0"/>
          <w:shd w:val="clear" w:color="auto" w:fill="auto"/>
          <w:lang w:val="en-US" w:eastAsia="en-US" w:bidi="en-US"/>
        </w:rPr>
        <w:t xml:space="preserve"> (1566).</w:t>
      </w:r>
    </w:p>
    <w:p>
      <w:pPr>
        <w:pStyle w:val="Style3"/>
        <w:keepNext w:val="0"/>
        <w:keepLines w:val="0"/>
        <w:widowControl w:val="0"/>
        <w:shd w:val="clear" w:color="auto" w:fill="auto"/>
        <w:tabs>
          <w:tab w:pos="53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w:t>
        <w:tab/>
        <w:t xml:space="preserve">A performance at court of </w:t>
      </w:r>
      <w:r>
        <w:rPr>
          <w:rFonts w:ascii="Times New Roman" w:eastAsia="Times New Roman" w:hAnsi="Times New Roman" w:cs="Times New Roman"/>
          <w:i/>
          <w:iCs/>
          <w:color w:val="000000"/>
          <w:spacing w:val="0"/>
          <w:w w:val="100"/>
          <w:position w:val="0"/>
          <w:shd w:val="clear" w:color="auto" w:fill="auto"/>
          <w:lang w:val="en-US" w:eastAsia="en-US" w:bidi="en-US"/>
        </w:rPr>
        <w:t>Othello</w:t>
      </w:r>
      <w:r>
        <w:rPr>
          <w:rFonts w:ascii="Times New Roman" w:eastAsia="Times New Roman" w:hAnsi="Times New Roman" w:cs="Times New Roman"/>
          <w:color w:val="000000"/>
          <w:spacing w:val="0"/>
          <w:w w:val="100"/>
          <w:position w:val="0"/>
          <w:shd w:val="clear" w:color="auto" w:fill="auto"/>
          <w:lang w:val="en-US" w:eastAsia="en-US" w:bidi="en-US"/>
        </w:rPr>
        <w:t xml:space="preserve"> on November 1, 1604, is noted in the same records as those quoted with regard to </w:t>
      </w:r>
      <w:r>
        <w:rPr>
          <w:rFonts w:ascii="Times New Roman" w:eastAsia="Times New Roman" w:hAnsi="Times New Roman" w:cs="Times New Roman"/>
          <w:i/>
          <w:iCs/>
          <w:color w:val="000000"/>
          <w:spacing w:val="0"/>
          <w:w w:val="100"/>
          <w:position w:val="0"/>
          <w:shd w:val="clear" w:color="auto" w:fill="auto"/>
          <w:lang w:val="en-US" w:eastAsia="en-US" w:bidi="en-US"/>
        </w:rPr>
        <w:t>Measure for Measure,</w:t>
      </w:r>
      <w:r>
        <w:rPr>
          <w:rFonts w:ascii="Times New Roman" w:eastAsia="Times New Roman" w:hAnsi="Times New Roman" w:cs="Times New Roman"/>
          <w:color w:val="000000"/>
          <w:spacing w:val="0"/>
          <w:w w:val="100"/>
          <w:position w:val="0"/>
          <w:shd w:val="clear" w:color="auto" w:fill="auto"/>
          <w:lang w:val="en-US" w:eastAsia="en-US" w:bidi="en-US"/>
        </w:rPr>
        <w:t xml:space="preserve"> and the play may be reasonably assigned to the same year. An alleged </w:t>
      </w:r>
      <w:r>
        <w:rPr>
          <w:rFonts w:ascii="Times New Roman" w:eastAsia="Times New Roman" w:hAnsi="Times New Roman" w:cs="Times New Roman"/>
          <w:color w:val="000000"/>
          <w:spacing w:val="0"/>
          <w:w w:val="100"/>
          <w:position w:val="0"/>
          <w:shd w:val="clear" w:color="auto" w:fill="auto"/>
          <w:lang w:val="fr-FR" w:eastAsia="fr-FR" w:bidi="fr-FR"/>
        </w:rPr>
        <w:t xml:space="preserve">performance </w:t>
      </w:r>
      <w:r>
        <w:rPr>
          <w:rFonts w:ascii="Times New Roman" w:eastAsia="Times New Roman" w:hAnsi="Times New Roman" w:cs="Times New Roman"/>
          <w:color w:val="000000"/>
          <w:spacing w:val="0"/>
          <w:w w:val="100"/>
          <w:position w:val="0"/>
          <w:shd w:val="clear" w:color="auto" w:fill="auto"/>
          <w:lang w:val="en-US" w:eastAsia="en-US" w:bidi="en-US"/>
        </w:rPr>
        <w:t xml:space="preserve">at Harefield in 1602 certainly rests upon a forgery. The play was revived in 1610 and seen by Prince Louis of Württemberg at the GIobe on April 30 of that year. It was entered in the Stationers’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on October 6, 1621, and a First Quarto was published in 1622. The text of this is less satisfactory than that of the First Folio, and omits a good many lines found therein and almost certainly belonging to the play as first written. It also contains some profane expressions which have been modified in the Folio, and thereby points to a date for the original production earlier than the Act to Restrain Abuses of Players passed in the spring of 1606. The plot, like that of </w:t>
      </w:r>
      <w:r>
        <w:rPr>
          <w:rFonts w:ascii="Times New Roman" w:eastAsia="Times New Roman" w:hAnsi="Times New Roman" w:cs="Times New Roman"/>
          <w:i/>
          <w:iCs/>
          <w:color w:val="000000"/>
          <w:spacing w:val="0"/>
          <w:w w:val="100"/>
          <w:position w:val="0"/>
          <w:shd w:val="clear" w:color="auto" w:fill="auto"/>
          <w:lang w:val="en-US" w:eastAsia="en-US" w:bidi="en-US"/>
        </w:rPr>
        <w:t>Measure for Measure,</w:t>
      </w:r>
      <w:r>
        <w:rPr>
          <w:rFonts w:ascii="Times New Roman" w:eastAsia="Times New Roman" w:hAnsi="Times New Roman" w:cs="Times New Roman"/>
          <w:color w:val="000000"/>
          <w:spacing w:val="0"/>
          <w:w w:val="100"/>
          <w:position w:val="0"/>
          <w:shd w:val="clear" w:color="auto" w:fill="auto"/>
          <w:lang w:val="en-US" w:eastAsia="en-US" w:bidi="en-US"/>
        </w:rPr>
        <w:t xml:space="preserve"> comes from the </w:t>
      </w:r>
      <w:r>
        <w:rPr>
          <w:rFonts w:ascii="Times New Roman" w:eastAsia="Times New Roman" w:hAnsi="Times New Roman" w:cs="Times New Roman"/>
          <w:i/>
          <w:iCs/>
          <w:color w:val="000000"/>
          <w:spacing w:val="0"/>
          <w:w w:val="100"/>
          <w:position w:val="0"/>
          <w:shd w:val="clear" w:color="auto" w:fill="auto"/>
          <w:lang w:val="en-US" w:eastAsia="en-US" w:bidi="en-US"/>
        </w:rPr>
        <w:t>Hecatommithi</w:t>
      </w:r>
      <w:r>
        <w:rPr>
          <w:rFonts w:ascii="Times New Roman" w:eastAsia="Times New Roman" w:hAnsi="Times New Roman" w:cs="Times New Roman"/>
          <w:color w:val="000000"/>
          <w:spacing w:val="0"/>
          <w:w w:val="100"/>
          <w:position w:val="0"/>
          <w:shd w:val="clear" w:color="auto" w:fill="auto"/>
          <w:lang w:val="en-US" w:eastAsia="en-US" w:bidi="en-US"/>
        </w:rPr>
        <w:t xml:space="preserve"> (1566) of Giraldi Cinthio.</w:t>
      </w:r>
    </w:p>
    <w:p>
      <w:pPr>
        <w:pStyle w:val="Style3"/>
        <w:keepNext w:val="0"/>
        <w:keepLines w:val="0"/>
        <w:widowControl w:val="0"/>
        <w:shd w:val="clear" w:color="auto" w:fill="auto"/>
        <w:tabs>
          <w:tab w:pos="53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29.</w:t>
        <w:tab/>
      </w:r>
      <w:r>
        <w:rPr>
          <w:rFonts w:ascii="Times New Roman" w:eastAsia="Times New Roman" w:hAnsi="Times New Roman" w:cs="Times New Roman"/>
          <w:i/>
          <w:iCs/>
          <w:color w:val="000000"/>
          <w:spacing w:val="0"/>
          <w:w w:val="100"/>
          <w:position w:val="0"/>
          <w:shd w:val="clear" w:color="auto" w:fill="auto"/>
          <w:lang w:val="en-US" w:eastAsia="en-US" w:bidi="en-US"/>
        </w:rPr>
        <w:t>Macbeth</w:t>
      </w:r>
      <w:r>
        <w:rPr>
          <w:rFonts w:ascii="Times New Roman" w:eastAsia="Times New Roman" w:hAnsi="Times New Roman" w:cs="Times New Roman"/>
          <w:color w:val="000000"/>
          <w:spacing w:val="0"/>
          <w:w w:val="100"/>
          <w:position w:val="0"/>
          <w:shd w:val="clear" w:color="auto" w:fill="auto"/>
          <w:lang w:val="en-US" w:eastAsia="en-US" w:bidi="en-US"/>
        </w:rPr>
        <w:t xml:space="preserve"> cannot, in view of its obvious allusions to James I., be of earlier date than 1603. The style and some trifling allusions point to about 1605 or 1606, and a hint for the theme may have been given by Matthew Gwynne’s entertainment of the </w:t>
      </w:r>
      <w:r>
        <w:rPr>
          <w:rFonts w:ascii="Times New Roman" w:eastAsia="Times New Roman" w:hAnsi="Times New Roman" w:cs="Times New Roman"/>
          <w:i/>
          <w:iCs/>
          <w:color w:val="000000"/>
          <w:spacing w:val="0"/>
          <w:w w:val="100"/>
          <w:position w:val="0"/>
          <w:shd w:val="clear" w:color="auto" w:fill="auto"/>
          <w:lang w:val="en-US" w:eastAsia="en-US" w:bidi="en-US"/>
        </w:rPr>
        <w:t>Tres Sibyllae,</w:t>
      </w:r>
      <w:r>
        <w:rPr>
          <w:rFonts w:ascii="Times New Roman" w:eastAsia="Times New Roman" w:hAnsi="Times New Roman" w:cs="Times New Roman"/>
          <w:color w:val="000000"/>
          <w:spacing w:val="0"/>
          <w:w w:val="100"/>
          <w:position w:val="0"/>
          <w:shd w:val="clear" w:color="auto" w:fill="auto"/>
          <w:lang w:val="en-US" w:eastAsia="en-US" w:bidi="en-US"/>
        </w:rPr>
        <w:t xml:space="preserve"> with which James was welcomed to Oxford on August 27, 1605. The play was revived in 1610 and Simon Forman saw it at the Globe on April 2o. The only extant text, that of the First Folio, bears traces of shortening, and has been interpolated with additional rhymed dialogues for the witches by a second hand, probably that of Thomas Middleton. But the extent of Middleton’s contribution has been exaggerated; it is probably confined to act iii. sc. 5, and a few lines in act. iv. sc. 1. A ballad of </w:t>
      </w:r>
      <w:r>
        <w:rPr>
          <w:rFonts w:ascii="Times New Roman" w:eastAsia="Times New Roman" w:hAnsi="Times New Roman" w:cs="Times New Roman"/>
          <w:i/>
          <w:iCs/>
          <w:color w:val="000000"/>
          <w:spacing w:val="0"/>
          <w:w w:val="100"/>
          <w:position w:val="0"/>
          <w:shd w:val="clear" w:color="auto" w:fill="auto"/>
          <w:lang w:val="en-US" w:eastAsia="en-US" w:bidi="en-US"/>
        </w:rPr>
        <w:t>Macdobeth</w:t>
      </w:r>
      <w:r>
        <w:rPr>
          <w:rFonts w:ascii="Times New Roman" w:eastAsia="Times New Roman" w:hAnsi="Times New Roman" w:cs="Times New Roman"/>
          <w:color w:val="000000"/>
          <w:spacing w:val="0"/>
          <w:w w:val="100"/>
          <w:position w:val="0"/>
          <w:shd w:val="clear" w:color="auto" w:fill="auto"/>
          <w:lang w:val="en-US" w:eastAsia="en-US" w:bidi="en-US"/>
        </w:rPr>
        <w:t xml:space="preserve"> was entered in the Stationers’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on August 27, 1596, but is not known. It is not likely that Shakespeare had consulted any Scottish history other than that included in Raphael Holinshed’s </w:t>
      </w:r>
      <w:r>
        <w:rPr>
          <w:rFonts w:ascii="Times New Roman" w:eastAsia="Times New Roman" w:hAnsi="Times New Roman" w:cs="Times New Roman"/>
          <w:i/>
          <w:iCs/>
          <w:color w:val="000000"/>
          <w:spacing w:val="0"/>
          <w:w w:val="100"/>
          <w:position w:val="0"/>
          <w:shd w:val="clear" w:color="auto" w:fill="auto"/>
          <w:lang w:val="en-US" w:eastAsia="en-US" w:bidi="en-US"/>
        </w:rPr>
        <w:t>Chronicle;</w:t>
      </w:r>
      <w:r>
        <w:rPr>
          <w:rFonts w:ascii="Times New Roman" w:eastAsia="Times New Roman" w:hAnsi="Times New Roman" w:cs="Times New Roman"/>
          <w:color w:val="000000"/>
          <w:spacing w:val="0"/>
          <w:w w:val="100"/>
          <w:position w:val="0"/>
          <w:shd w:val="clear" w:color="auto" w:fill="auto"/>
          <w:lang w:val="en-US" w:eastAsia="en-US" w:bidi="en-US"/>
        </w:rPr>
        <w:t xml:space="preserve"> he may have gathered witchlore from Reginald Scot’s </w:t>
      </w:r>
      <w:r>
        <w:rPr>
          <w:rFonts w:ascii="Times New Roman" w:eastAsia="Times New Roman" w:hAnsi="Times New Roman" w:cs="Times New Roman"/>
          <w:i/>
          <w:iCs/>
          <w:color w:val="000000"/>
          <w:spacing w:val="0"/>
          <w:w w:val="100"/>
          <w:position w:val="0"/>
          <w:shd w:val="clear" w:color="auto" w:fill="auto"/>
          <w:lang w:val="en-US" w:eastAsia="en-US" w:bidi="en-US"/>
        </w:rPr>
        <w:t>Discoverie of Witchcraft</w:t>
      </w:r>
      <w:r>
        <w:rPr>
          <w:rFonts w:ascii="Times New Roman" w:eastAsia="Times New Roman" w:hAnsi="Times New Roman" w:cs="Times New Roman"/>
          <w:color w:val="000000"/>
          <w:spacing w:val="0"/>
          <w:w w:val="100"/>
          <w:position w:val="0"/>
          <w:shd w:val="clear" w:color="auto" w:fill="auto"/>
          <w:lang w:val="en-US" w:eastAsia="en-US" w:bidi="en-US"/>
        </w:rPr>
        <w:t xml:space="preserve"> (1584) or King James’s own </w:t>
      </w:r>
      <w:r>
        <w:rPr>
          <w:rFonts w:ascii="Times New Roman" w:eastAsia="Times New Roman" w:hAnsi="Times New Roman" w:cs="Times New Roman"/>
          <w:i/>
          <w:iCs/>
          <w:color w:val="000000"/>
          <w:spacing w:val="0"/>
          <w:w w:val="100"/>
          <w:position w:val="0"/>
          <w:shd w:val="clear" w:color="auto" w:fill="auto"/>
          <w:lang w:val="en-US" w:eastAsia="en-US" w:bidi="en-US"/>
        </w:rPr>
        <w:t>Demonologie</w:t>
      </w:r>
      <w:r>
        <w:rPr>
          <w:rFonts w:ascii="Times New Roman" w:eastAsia="Times New Roman" w:hAnsi="Times New Roman" w:cs="Times New Roman"/>
          <w:color w:val="000000"/>
          <w:spacing w:val="0"/>
          <w:w w:val="100"/>
          <w:position w:val="0"/>
          <w:shd w:val="clear" w:color="auto" w:fill="auto"/>
          <w:lang w:val="en-US" w:eastAsia="en-US" w:bidi="en-US"/>
        </w:rPr>
        <w:t xml:space="preserve"> (1599).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3O. The entry of </w:t>
      </w:r>
      <w:r>
        <w:rPr>
          <w:rFonts w:ascii="Times New Roman" w:eastAsia="Times New Roman" w:hAnsi="Times New Roman" w:cs="Times New Roman"/>
          <w:i/>
          <w:iCs/>
          <w:color w:val="000000"/>
          <w:spacing w:val="0"/>
          <w:w w:val="100"/>
          <w:position w:val="0"/>
          <w:shd w:val="clear" w:color="auto" w:fill="auto"/>
          <w:lang w:val="en-US" w:eastAsia="en-US" w:bidi="en-US"/>
        </w:rPr>
        <w:t>King Lear</w:t>
      </w:r>
      <w:r>
        <w:rPr>
          <w:rFonts w:ascii="Times New Roman" w:eastAsia="Times New Roman" w:hAnsi="Times New Roman" w:cs="Times New Roman"/>
          <w:color w:val="000000"/>
          <w:spacing w:val="0"/>
          <w:w w:val="100"/>
          <w:position w:val="0"/>
          <w:shd w:val="clear" w:color="auto" w:fill="auto"/>
          <w:lang w:val="en-US" w:eastAsia="en-US" w:bidi="en-US"/>
        </w:rPr>
        <w:t xml:space="preserve"> in the Stationers’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on November 26, 1607, records the performance of the play at court on December 26, 1606. This suggests 1605 or 1606 as the date of production, and this is confirmed by the publication in 1605 of the older play, </w:t>
      </w:r>
      <w:r>
        <w:rPr>
          <w:rFonts w:ascii="Times New Roman" w:eastAsia="Times New Roman" w:hAnsi="Times New Roman" w:cs="Times New Roman"/>
          <w:i/>
          <w:iCs/>
          <w:color w:val="000000"/>
          <w:spacing w:val="0"/>
          <w:w w:val="100"/>
          <w:position w:val="0"/>
          <w:shd w:val="clear" w:color="auto" w:fill="auto"/>
          <w:lang w:val="en-US" w:eastAsia="en-US" w:bidi="en-US"/>
        </w:rPr>
        <w:t>The True Chronicle History of King Leir,</w:t>
      </w:r>
      <w:r>
        <w:rPr>
          <w:rFonts w:ascii="Times New Roman" w:eastAsia="Times New Roman" w:hAnsi="Times New Roman" w:cs="Times New Roman"/>
          <w:color w:val="000000"/>
          <w:spacing w:val="0"/>
          <w:w w:val="100"/>
          <w:position w:val="0"/>
          <w:shd w:val="clear" w:color="auto" w:fill="auto"/>
          <w:lang w:val="en-US" w:eastAsia="en-US" w:bidi="en-US"/>
        </w:rPr>
        <w:t xml:space="preserve"> which Shakespeare used as his source. Two Quartos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King Lear </w:t>
      </w:r>
      <w:r>
        <w:rPr>
          <w:rFonts w:ascii="Times New Roman" w:eastAsia="Times New Roman" w:hAnsi="Times New Roman" w:cs="Times New Roman"/>
          <w:color w:val="000000"/>
          <w:spacing w:val="0"/>
          <w:w w:val="100"/>
          <w:position w:val="0"/>
          <w:shd w:val="clear" w:color="auto" w:fill="auto"/>
          <w:lang w:val="en-US" w:eastAsia="en-US" w:bidi="en-US"/>
        </w:rPr>
        <w:t>were published in 1608, and contain a text rather longer, but in other respects less accurate, than that of the First Folio. The material of the play consists of fragments of Celtic myth, which found their way into history through Geoffrey of Mon</w:t>
        <w:softHyphen/>
        <w:t xml:space="preserve">mouth. It was accessible to Shakespeare in Holinshed and in Spenser’s </w:t>
      </w:r>
      <w:r>
        <w:rPr>
          <w:rFonts w:ascii="Times New Roman" w:eastAsia="Times New Roman" w:hAnsi="Times New Roman" w:cs="Times New Roman"/>
          <w:i/>
          <w:iCs/>
          <w:color w:val="000000"/>
          <w:spacing w:val="0"/>
          <w:w w:val="100"/>
          <w:position w:val="0"/>
          <w:shd w:val="clear" w:color="auto" w:fill="auto"/>
          <w:lang w:val="en-US" w:eastAsia="en-US" w:bidi="en-US"/>
        </w:rPr>
        <w:t>Faerie Queene,</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in the old play.</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31. It is not quite clear whether </w:t>
      </w:r>
      <w:r>
        <w:rPr>
          <w:rFonts w:ascii="Times New Roman" w:eastAsia="Times New Roman" w:hAnsi="Times New Roman" w:cs="Times New Roman"/>
          <w:i/>
          <w:iCs/>
          <w:color w:val="000000"/>
          <w:spacing w:val="0"/>
          <w:w w:val="100"/>
          <w:position w:val="0"/>
          <w:shd w:val="clear" w:color="auto" w:fill="auto"/>
          <w:lang w:val="en-US" w:eastAsia="en-US" w:bidi="en-US"/>
        </w:rPr>
        <w:t>Antony and Cleopatra</w:t>
      </w:r>
      <w:r>
        <w:rPr>
          <w:rFonts w:ascii="Times New Roman" w:eastAsia="Times New Roman" w:hAnsi="Times New Roman" w:cs="Times New Roman"/>
          <w:color w:val="000000"/>
          <w:spacing w:val="0"/>
          <w:w w:val="100"/>
          <w:position w:val="0"/>
          <w:shd w:val="clear" w:color="auto" w:fill="auto"/>
          <w:lang w:val="en-US" w:eastAsia="en-US" w:bidi="en-US"/>
        </w:rPr>
        <w:t xml:space="preserve"> was the play of that name entered in the Stationers’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on May 20, 1608, for no Quarto is extant, and a fresh entry was made in the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before the issue of the First FoIio. Apart from</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entry, there is little external evidence to fix the date of the play, but it is in Shakespeare’s later, although not his last manner, and may very well belong to 1606.</w:t>
      </w:r>
    </w:p>
    <w:p>
      <w:pPr>
        <w:pStyle w:val="Style3"/>
        <w:keepNext w:val="0"/>
        <w:keepLines w:val="0"/>
        <w:widowControl w:val="0"/>
        <w:shd w:val="clear" w:color="auto" w:fill="auto"/>
        <w:tabs>
          <w:tab w:pos="54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w:t>
        <w:tab/>
        <w:t xml:space="preserve">In the case of </w:t>
      </w:r>
      <w:r>
        <w:rPr>
          <w:rFonts w:ascii="Times New Roman" w:eastAsia="Times New Roman" w:hAnsi="Times New Roman" w:cs="Times New Roman"/>
          <w:i/>
          <w:iCs/>
          <w:color w:val="000000"/>
          <w:spacing w:val="0"/>
          <w:w w:val="100"/>
          <w:position w:val="0"/>
          <w:shd w:val="clear" w:color="auto" w:fill="auto"/>
          <w:lang w:val="en-US" w:eastAsia="en-US" w:bidi="en-US"/>
        </w:rPr>
        <w:t>Coriolanus</w:t>
      </w:r>
      <w:r>
        <w:rPr>
          <w:rFonts w:ascii="Times New Roman" w:eastAsia="Times New Roman" w:hAnsi="Times New Roman" w:cs="Times New Roman"/>
          <w:color w:val="000000"/>
          <w:spacing w:val="0"/>
          <w:w w:val="100"/>
          <w:position w:val="0"/>
          <w:shd w:val="clear" w:color="auto" w:fill="auto"/>
          <w:lang w:val="en-US" w:eastAsia="en-US" w:bidi="en-US"/>
        </w:rPr>
        <w:t xml:space="preserve"> the external evidence available is even scantier, and all that can be said is that its closest affinities are to </w:t>
      </w:r>
      <w:r>
        <w:rPr>
          <w:rFonts w:ascii="Times New Roman" w:eastAsia="Times New Roman" w:hAnsi="Times New Roman" w:cs="Times New Roman"/>
          <w:i/>
          <w:iCs/>
          <w:color w:val="000000"/>
          <w:spacing w:val="0"/>
          <w:w w:val="100"/>
          <w:position w:val="0"/>
          <w:shd w:val="clear" w:color="auto" w:fill="auto"/>
          <w:lang w:val="en-US" w:eastAsia="en-US" w:bidi="en-US"/>
        </w:rPr>
        <w:t>Antony and Cleopatra,</w:t>
      </w:r>
      <w:r>
        <w:rPr>
          <w:rFonts w:ascii="Times New Roman" w:eastAsia="Times New Roman" w:hAnsi="Times New Roman" w:cs="Times New Roman"/>
          <w:color w:val="000000"/>
          <w:spacing w:val="0"/>
          <w:w w:val="100"/>
          <w:position w:val="0"/>
          <w:shd w:val="clear" w:color="auto" w:fill="auto"/>
          <w:lang w:val="en-US" w:eastAsia="en-US" w:bidi="en-US"/>
        </w:rPr>
        <w:t xml:space="preserve"> which in all probability it directly followed or preceded in order of composition.' Both plays, like </w:t>
      </w:r>
      <w:r>
        <w:rPr>
          <w:rFonts w:ascii="Times New Roman" w:eastAsia="Times New Roman" w:hAnsi="Times New Roman" w:cs="Times New Roman"/>
          <w:i/>
          <w:iCs/>
          <w:color w:val="000000"/>
          <w:spacing w:val="0"/>
          <w:w w:val="100"/>
          <w:position w:val="0"/>
          <w:shd w:val="clear" w:color="auto" w:fill="auto"/>
          <w:lang w:val="en-US" w:eastAsia="en-US" w:bidi="en-US"/>
        </w:rPr>
        <w:t>Julius Caesar,</w:t>
      </w:r>
      <w:r>
        <w:rPr>
          <w:rFonts w:ascii="Times New Roman" w:eastAsia="Times New Roman" w:hAnsi="Times New Roman" w:cs="Times New Roman"/>
          <w:color w:val="000000"/>
          <w:spacing w:val="0"/>
          <w:w w:val="100"/>
          <w:position w:val="0"/>
          <w:shd w:val="clear" w:color="auto" w:fill="auto"/>
          <w:lang w:val="en-US" w:eastAsia="en-US" w:bidi="en-US"/>
        </w:rPr>
        <w:t xml:space="preserve"> are based upon the </w:t>
      </w:r>
      <w:r>
        <w:rPr>
          <w:rFonts w:ascii="Times New Roman" w:eastAsia="Times New Roman" w:hAnsi="Times New Roman" w:cs="Times New Roman"/>
          <w:i/>
          <w:iCs/>
          <w:color w:val="000000"/>
          <w:spacing w:val="0"/>
          <w:w w:val="100"/>
          <w:position w:val="0"/>
          <w:shd w:val="clear" w:color="auto" w:fill="auto"/>
          <w:lang w:val="en-US" w:eastAsia="en-US" w:bidi="en-US"/>
        </w:rPr>
        <w:t>Lives</w:t>
      </w:r>
      <w:r>
        <w:rPr>
          <w:rFonts w:ascii="Times New Roman" w:eastAsia="Times New Roman" w:hAnsi="Times New Roman" w:cs="Times New Roman"/>
          <w:color w:val="000000"/>
          <w:spacing w:val="0"/>
          <w:w w:val="100"/>
          <w:position w:val="0"/>
          <w:shd w:val="clear" w:color="auto" w:fill="auto"/>
          <w:lang w:val="en-US" w:eastAsia="en-US" w:bidi="en-US"/>
        </w:rPr>
        <w:t xml:space="preserve"> of Plutarch, as Englished by Sir Thomas North.</w:t>
      </w:r>
    </w:p>
    <w:p>
      <w:pPr>
        <w:pStyle w:val="Style3"/>
        <w:keepNext w:val="0"/>
        <w:keepLines w:val="0"/>
        <w:widowControl w:val="0"/>
        <w:shd w:val="clear" w:color="auto" w:fill="auto"/>
        <w:tabs>
          <w:tab w:pos="553"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w:t>
        <w:tab/>
        <w:t xml:space="preserve">There is no external evidence as to the date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Timon </w:t>
      </w:r>
      <w:r>
        <w:rPr>
          <w:rFonts w:ascii="Times New Roman" w:eastAsia="Times New Roman" w:hAnsi="Times New Roman" w:cs="Times New Roman"/>
          <w:i/>
          <w:iCs/>
          <w:color w:val="000000"/>
          <w:spacing w:val="0"/>
          <w:w w:val="100"/>
          <w:position w:val="0"/>
          <w:shd w:val="clear" w:color="auto" w:fill="auto"/>
          <w:lang w:val="en-US" w:eastAsia="en-US" w:bidi="en-US"/>
        </w:rPr>
        <w:t>of Athens,</w:t>
      </w:r>
      <w:r>
        <w:rPr>
          <w:rFonts w:ascii="Times New Roman" w:eastAsia="Times New Roman" w:hAnsi="Times New Roman" w:cs="Times New Roman"/>
          <w:color w:val="000000"/>
          <w:spacing w:val="0"/>
          <w:w w:val="100"/>
          <w:position w:val="0"/>
          <w:shd w:val="clear" w:color="auto" w:fill="auto"/>
          <w:lang w:val="en-US" w:eastAsia="en-US" w:bidi="en-US"/>
        </w:rPr>
        <w:t xml:space="preserve"> but it may safely be grouped on the strength of its internal characteristics with the plays just named, and there is a clear gulf between it and those that follow. It may be placed provisionally in 1607. The critical problems which it presents have never been thoroughly worked out. The extraordinary incoherencies of its action and inequalities of its style have prevented modem scholars from accepting it as a finished pro- duction of Shakespeare, but there agreement ceases. It is sometimes regarded as an incomplete draft for an intended play; sometimes as a Shakespearian fragment worked over by a second hand either for the stage or for printing in the First Folio; sometimes, but not very plausibly, as an old play by an inferior writer which Shakespeare had partly remodelled. It does not seem to have had any relations to an extant academic play of </w:t>
      </w:r>
      <w:r>
        <w:rPr>
          <w:rFonts w:ascii="Times New Roman" w:eastAsia="Times New Roman" w:hAnsi="Times New Roman" w:cs="Times New Roman"/>
          <w:i/>
          <w:iCs/>
          <w:color w:val="000000"/>
          <w:spacing w:val="0"/>
          <w:w w:val="100"/>
          <w:position w:val="0"/>
          <w:shd w:val="clear" w:color="auto" w:fill="auto"/>
          <w:lang w:val="fr-FR" w:eastAsia="fr-FR" w:bidi="fr-FR"/>
        </w:rPr>
        <w:t>Timon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remained in manuscript until 1842. The sources are to be found, partly in Plutarch’s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of Marcus </w:t>
      </w:r>
      <w:r>
        <w:rPr>
          <w:rFonts w:ascii="Times New Roman" w:eastAsia="Times New Roman" w:hAnsi="Times New Roman" w:cs="Times New Roman"/>
          <w:i/>
          <w:iCs/>
          <w:color w:val="000000"/>
          <w:spacing w:val="0"/>
          <w:w w:val="100"/>
          <w:position w:val="0"/>
          <w:shd w:val="clear" w:color="auto" w:fill="auto"/>
          <w:lang w:val="de-DE" w:eastAsia="de-DE" w:bidi="de-DE"/>
        </w:rPr>
        <w:t xml:space="preserve">Antonius, </w:t>
      </w:r>
      <w:r>
        <w:rPr>
          <w:rFonts w:ascii="Times New Roman" w:eastAsia="Times New Roman" w:hAnsi="Times New Roman" w:cs="Times New Roman"/>
          <w:color w:val="000000"/>
          <w:spacing w:val="0"/>
          <w:w w:val="100"/>
          <w:position w:val="0"/>
          <w:shd w:val="clear" w:color="auto" w:fill="auto"/>
          <w:lang w:val="en-US" w:eastAsia="en-US" w:bidi="en-US"/>
        </w:rPr>
        <w:t xml:space="preserve">partly in Lucian’s dialogue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Timon </w:t>
      </w:r>
      <w:r>
        <w:rPr>
          <w:rFonts w:ascii="Times New Roman" w:eastAsia="Times New Roman" w:hAnsi="Times New Roman" w:cs="Times New Roman"/>
          <w:i/>
          <w:iCs/>
          <w:color w:val="000000"/>
          <w:spacing w:val="0"/>
          <w:w w:val="100"/>
          <w:position w:val="0"/>
          <w:shd w:val="clear" w:color="auto" w:fill="auto"/>
          <w:lang w:val="en-US" w:eastAsia="en-US" w:bidi="en-US"/>
        </w:rPr>
        <w:t>or Misanthropos,</w:t>
      </w:r>
      <w:r>
        <w:rPr>
          <w:rFonts w:ascii="Times New Roman" w:eastAsia="Times New Roman" w:hAnsi="Times New Roman" w:cs="Times New Roman"/>
          <w:color w:val="000000"/>
          <w:spacing w:val="0"/>
          <w:w w:val="100"/>
          <w:position w:val="0"/>
          <w:shd w:val="clear" w:color="auto" w:fill="auto"/>
          <w:lang w:val="en-US" w:eastAsia="en-US" w:bidi="en-US"/>
        </w:rPr>
        <w:t xml:space="preserve"> and partly in William Paynter’s </w:t>
      </w:r>
      <w:r>
        <w:rPr>
          <w:rFonts w:ascii="Times New Roman" w:eastAsia="Times New Roman" w:hAnsi="Times New Roman" w:cs="Times New Roman"/>
          <w:i/>
          <w:iCs/>
          <w:color w:val="000000"/>
          <w:spacing w:val="0"/>
          <w:w w:val="100"/>
          <w:position w:val="0"/>
          <w:shd w:val="clear" w:color="auto" w:fill="auto"/>
          <w:lang w:val="en-US" w:eastAsia="en-US" w:bidi="en-US"/>
        </w:rPr>
        <w:t>Palace of Pleasure</w:t>
      </w:r>
      <w:r>
        <w:rPr>
          <w:rFonts w:ascii="Times New Roman" w:eastAsia="Times New Roman" w:hAnsi="Times New Roman" w:cs="Times New Roman"/>
          <w:color w:val="000000"/>
          <w:spacing w:val="0"/>
          <w:w w:val="100"/>
          <w:position w:val="0"/>
          <w:shd w:val="clear" w:color="auto" w:fill="auto"/>
          <w:lang w:val="en-US" w:eastAsia="en-US" w:bidi="en-US"/>
        </w:rPr>
        <w:t xml:space="preserve"> (1566).</w:t>
      </w:r>
    </w:p>
    <w:p>
      <w:pPr>
        <w:pStyle w:val="Style3"/>
        <w:keepNext w:val="0"/>
        <w:keepLines w:val="0"/>
        <w:widowControl w:val="0"/>
        <w:shd w:val="clear" w:color="auto" w:fill="auto"/>
        <w:tabs>
          <w:tab w:pos="553"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w:t>
        <w:tab/>
        <w:t xml:space="preserve">Similar difficulties, equally unsolved, cling about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Pericles. </w:t>
      </w:r>
      <w:r>
        <w:rPr>
          <w:rFonts w:ascii="Times New Roman" w:eastAsia="Times New Roman" w:hAnsi="Times New Roman" w:cs="Times New Roman"/>
          <w:color w:val="000000"/>
          <w:spacing w:val="0"/>
          <w:w w:val="100"/>
          <w:position w:val="0"/>
          <w:shd w:val="clear" w:color="auto" w:fill="auto"/>
          <w:lang w:val="en-US" w:eastAsia="en-US" w:bidi="en-US"/>
        </w:rPr>
        <w:t xml:space="preserve">It was entered in the Stationers’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on May 20, 1608, and published in 1609 as “ the late and much admired play ” acted by the King’s men at the Globe. The title-page bears Shake</w:t>
        <w:softHyphen/>
        <w:t xml:space="preserve">speare’s name, but the play was not included in the First Folio, and was only added to Shakespeare’s collected works in the Third Folio, in company with others which, although they also had been printed under his name or initials in quarto form, are certainly not his. In 1608 was published a prose story, </w:t>
      </w:r>
      <w:r>
        <w:rPr>
          <w:rFonts w:ascii="Times New Roman" w:eastAsia="Times New Roman" w:hAnsi="Times New Roman" w:cs="Times New Roman"/>
          <w:i/>
          <w:iCs/>
          <w:color w:val="000000"/>
          <w:spacing w:val="0"/>
          <w:w w:val="100"/>
          <w:position w:val="0"/>
          <w:shd w:val="clear" w:color="auto" w:fill="auto"/>
          <w:lang w:val="en-US" w:eastAsia="en-US" w:bidi="en-US"/>
        </w:rPr>
        <w:t>The Painful Adventures of Pericles Prince of Tyre.</w:t>
      </w:r>
      <w:r>
        <w:rPr>
          <w:rFonts w:ascii="Times New Roman" w:eastAsia="Times New Roman" w:hAnsi="Times New Roman" w:cs="Times New Roman"/>
          <w:color w:val="000000"/>
          <w:spacing w:val="0"/>
          <w:w w:val="100"/>
          <w:position w:val="0"/>
          <w:shd w:val="clear" w:color="auto" w:fill="auto"/>
          <w:lang w:val="en-US" w:eastAsia="en-US" w:bidi="en-US"/>
        </w:rPr>
        <w:t xml:space="preserve"> This claims to be the history of the play as it was presented by the King’s players, and is described in a dedication by George Wilkins as “ a poore infant of my braine. ” The production of the play is therefore to be put in 1608 or a little earlier. It can hardly be , doubted on internal evidence that Shakespeare is the author of the verse-scenes in the last three acts, with the exception of the doggerel choruses. It is probable, although it has been doubted, that he was also the author of the prose-scenes in those acts. To the first two acts he can at most only have contributed a touch or two. It seems reasonable to suppose that the non- Shakespearian part of the play is by Wilkins, by whom other . dramatic work was produced about 1607. The prose story quotes a line or two from Shakespeare’s contribution, and it follows that this must have been made by 1608. The close . resemblances of the style to that of Shakespeare’s latest plays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make it impossible to place it much earlier. But whether Shake</w:t>
        <w:softHyphen/>
        <w:t xml:space="preserve">speare and Wilkins collaborated in the play, or Shakespeare partially rewrote Wilkins, or Wilkins completed Shakespeare, must be regarded as yet undetermined. Unless there was an earlier Shakespearian version now lost, Dryden’s statement that “ Shakespeare’s own Muse her Pericles first bore ” must be held to be an error. The story is an ancient one which exists' in many versions. In all of these except the play, the name of the hero is Apollonius of Tyre. The play is directly based upon a version in Gower’s </w:t>
      </w:r>
      <w:r>
        <w:rPr>
          <w:rFonts w:ascii="Times New Roman" w:eastAsia="Times New Roman" w:hAnsi="Times New Roman" w:cs="Times New Roman"/>
          <w:i/>
          <w:iCs/>
          <w:color w:val="000000"/>
          <w:spacing w:val="0"/>
          <w:w w:val="100"/>
          <w:position w:val="0"/>
          <w:shd w:val="clear" w:color="auto" w:fill="auto"/>
          <w:lang w:val="de-DE" w:eastAsia="de-DE" w:bidi="de-DE"/>
        </w:rPr>
        <w:t xml:space="preserve">Confessio </w:t>
      </w:r>
      <w:r>
        <w:rPr>
          <w:rFonts w:ascii="Times New Roman" w:eastAsia="Times New Roman" w:hAnsi="Times New Roman" w:cs="Times New Roman"/>
          <w:i/>
          <w:iCs/>
          <w:color w:val="000000"/>
          <w:spacing w:val="0"/>
          <w:w w:val="100"/>
          <w:position w:val="0"/>
          <w:shd w:val="clear" w:color="auto" w:fill="auto"/>
          <w:lang w:val="en-US" w:eastAsia="en-US" w:bidi="en-US"/>
        </w:rPr>
        <w:t>Amantis,</w:t>
      </w:r>
      <w:r>
        <w:rPr>
          <w:rFonts w:ascii="Times New Roman" w:eastAsia="Times New Roman" w:hAnsi="Times New Roman" w:cs="Times New Roman"/>
          <w:color w:val="000000"/>
          <w:spacing w:val="0"/>
          <w:w w:val="100"/>
          <w:position w:val="0"/>
          <w:shd w:val="clear" w:color="auto" w:fill="auto"/>
          <w:lang w:val="en-US" w:eastAsia="en-US" w:bidi="en-US"/>
        </w:rPr>
        <w:t xml:space="preserve"> and the use of Gower as a “ presenter ’’ is thereby explained. But another version in Laur- ence Twine’s </w:t>
      </w:r>
      <w:r>
        <w:rPr>
          <w:rFonts w:ascii="Times New Roman" w:eastAsia="Times New Roman" w:hAnsi="Times New Roman" w:cs="Times New Roman"/>
          <w:i/>
          <w:iCs/>
          <w:color w:val="000000"/>
          <w:spacing w:val="0"/>
          <w:w w:val="100"/>
          <w:position w:val="0"/>
          <w:shd w:val="clear" w:color="auto" w:fill="auto"/>
          <w:lang w:val="en-US" w:eastAsia="en-US" w:bidi="en-US"/>
        </w:rPr>
        <w:t>Patterne of Painefull Adventures (c.</w:t>
      </w:r>
      <w:r>
        <w:rPr>
          <w:rFonts w:ascii="Times New Roman" w:eastAsia="Times New Roman" w:hAnsi="Times New Roman" w:cs="Times New Roman"/>
          <w:color w:val="000000"/>
          <w:spacing w:val="0"/>
          <w:w w:val="100"/>
          <w:position w:val="0"/>
          <w:shd w:val="clear" w:color="auto" w:fill="auto"/>
          <w:lang w:val="en-US" w:eastAsia="en-US" w:bidi="en-US"/>
        </w:rPr>
        <w:t xml:space="preserve"> 1576), of which a new edition appeared in 1607, may also have been consulted.</w:t>
      </w:r>
    </w:p>
    <w:p>
      <w:pPr>
        <w:pStyle w:val="Style3"/>
        <w:keepNext w:val="0"/>
        <w:keepLines w:val="0"/>
        <w:widowControl w:val="0"/>
        <w:shd w:val="clear" w:color="auto" w:fill="auto"/>
        <w:tabs>
          <w:tab w:pos="577"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w:t>
        <w:tab/>
      </w:r>
      <w:r>
        <w:rPr>
          <w:rFonts w:ascii="Times New Roman" w:eastAsia="Times New Roman" w:hAnsi="Times New Roman" w:cs="Times New Roman"/>
          <w:i/>
          <w:iCs/>
          <w:color w:val="000000"/>
          <w:spacing w:val="0"/>
          <w:w w:val="100"/>
          <w:position w:val="0"/>
          <w:shd w:val="clear" w:color="auto" w:fill="auto"/>
          <w:lang w:val="en-US" w:eastAsia="en-US" w:bidi="en-US"/>
        </w:rPr>
        <w:t>Cymbeline</w:t>
      </w:r>
      <w:r>
        <w:rPr>
          <w:rFonts w:ascii="Times New Roman" w:eastAsia="Times New Roman" w:hAnsi="Times New Roman" w:cs="Times New Roman"/>
          <w:color w:val="000000"/>
          <w:spacing w:val="0"/>
          <w:w w:val="100"/>
          <w:position w:val="0"/>
          <w:shd w:val="clear" w:color="auto" w:fill="auto"/>
          <w:lang w:val="en-US" w:eastAsia="en-US" w:bidi="en-US"/>
        </w:rPr>
        <w:t xml:space="preserve"> shows a further development than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Pericles </w:t>
      </w:r>
      <w:r>
        <w:rPr>
          <w:rFonts w:ascii="Times New Roman" w:eastAsia="Times New Roman" w:hAnsi="Times New Roman" w:cs="Times New Roman"/>
          <w:color w:val="000000"/>
          <w:spacing w:val="0"/>
          <w:w w:val="100"/>
          <w:position w:val="0"/>
          <w:shd w:val="clear" w:color="auto" w:fill="auto"/>
          <w:lang w:val="en-US" w:eastAsia="en-US" w:bidi="en-US"/>
        </w:rPr>
        <w:t xml:space="preserve">in the direction of Shakespeare’s final style, and can hardly have come earlier. A description of it is in a note-book of Simon Forman, who died in September 1611, and describes in the same book other plays seen by him in 1610 and 1611. But these were ,not necessarily new plays, and </w:t>
      </w:r>
      <w:r>
        <w:rPr>
          <w:rFonts w:ascii="Times New Roman" w:eastAsia="Times New Roman" w:hAnsi="Times New Roman" w:cs="Times New Roman"/>
          <w:i/>
          <w:iCs/>
          <w:color w:val="000000"/>
          <w:spacing w:val="0"/>
          <w:w w:val="100"/>
          <w:position w:val="0"/>
          <w:shd w:val="clear" w:color="auto" w:fill="auto"/>
          <w:lang w:val="en-US" w:eastAsia="en-US" w:bidi="en-US"/>
        </w:rPr>
        <w:t>Cymbeline</w:t>
      </w:r>
      <w:r>
        <w:rPr>
          <w:rFonts w:ascii="Times New Roman" w:eastAsia="Times New Roman" w:hAnsi="Times New Roman" w:cs="Times New Roman"/>
          <w:color w:val="000000"/>
          <w:spacing w:val="0"/>
          <w:w w:val="100"/>
          <w:position w:val="0"/>
          <w:shd w:val="clear" w:color="auto" w:fill="auto"/>
          <w:lang w:val="en-US" w:eastAsia="en-US" w:bidi="en-US"/>
        </w:rPr>
        <w:t xml:space="preserve"> may perhaps be assigned</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