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wrote letters of the most whining contrition to Lauderdale, who extended him a careless reconciliation. For a time he made himself actively useful, and helped to restrain his brethren from writing to London to complain of the conciliation policy which for a while Lauderdale carried out. On July io, 1668 an attempt was made upon his life by James Mitchell, who fired a pistol at him while driving through the streets of Edinburgh. The shot, however, missed Sharp, though his companion, the bishop of Orkney, was wounded by it, and Mitchell for the time escaped. In August Sharp went up to London, returning in December, and with his assistance Tweeddale’s tolerant proposals for filling the vacant parishes with some of the “ </w:t>
      </w:r>
      <w:r>
        <w:rPr>
          <w:rFonts w:ascii="Times New Roman" w:eastAsia="Times New Roman" w:hAnsi="Times New Roman" w:cs="Times New Roman"/>
          <w:color w:val="000000"/>
          <w:spacing w:val="0"/>
          <w:w w:val="100"/>
          <w:position w:val="0"/>
          <w:shd w:val="clear" w:color="auto" w:fill="auto"/>
          <w:lang w:val="fr-FR" w:eastAsia="fr-FR" w:bidi="fr-FR"/>
        </w:rPr>
        <w:t>ou</w:t>
      </w:r>
      <w:r>
        <w:rPr>
          <w:rFonts w:ascii="Times New Roman" w:eastAsia="Times New Roman" w:hAnsi="Times New Roman" w:cs="Times New Roman"/>
          <w:color w:val="000000"/>
          <w:spacing w:val="0"/>
          <w:w w:val="100"/>
          <w:position w:val="0"/>
          <w:shd w:val="clear" w:color="auto" w:fill="auto"/>
          <w:lang w:val="en-US" w:eastAsia="en-US" w:bidi="en-US"/>
        </w:rPr>
        <w:t>ted ’’ ministers were carried out. In the debates on the Supremacy Act, by which Lauderdale destroyed the autonomy of the church, Sharp at first showed reluctance to put in motion the desired policy, but gave way upon the first pressure. When, however, Leighton, as archbishop of Glasgow, endeavoured to carry out a comprehensive scheme, Sharp actively opposed him, and expressed his joy at the failure of the attempt. From this time he was completely subservient to Lauderdale, who had now finally determined upon a career of oppression, and in 1674 he was again in London to support this policy. In this year also Mitchell, who had shot at him six years before, was arrested, and, upon Sharp’s promise to obtain a pardon, privately made a full confession. When Mitchell later claimed this promise, Sharp denied that any such promise had been given. His falsehood was proved by the entry of the act in the records of the court. Mitchell was finally condemned, but a reprieve would have been granted had not Sharp himself insisted on his death. This was speedily avenged. On the 3rd of May 1679, as he was driving with his daughter Isabel to St Andrews, he was set upon by nine men, and, in spite of the appeals of his daughter, was cruelly murdered. The place of the murder, on Magus Muir, now covered with fir trees, is marked by a monument erected by Dean Stanley, with a Latin inscription recording the deed.</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Unless otherwise mentioned, the proofs of the statements in this article will be found in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vols.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i. and ii. of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 xml:space="preserve">Lauderdale Papers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(Camden Society) and in two articles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Scottish Review,</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July 1884 and January 1885.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 JOHN (1645-1714), English divine, archbishop of York, was bom at Bradford on the 16th of February 1645, and was educated at Christ’s College, Cambridge. He was ordained deacon and priest on August 12th 1667, and until 1676 was chaplain and tutor in the family of Sir Heneage Finch at Kensington House. Meanwhile he became archdeacon of Berk</w:t>
        <w:softHyphen/>
        <w:t>shire (1673), prebendary of Norwich, rector of St Giles’s-in-the- Fields, and in 1681 dean of Norwich. In 1686, when chaplain to James II., he was suspended for ten months on a charge of having made some reflections on the king, and in 1688 was cited for refusing to read the declaration of indulgence. Under William and Mary he succeeded Tillotson as dean of Canterbury in 1689, and (after declining a choice of sees vacated by non</w:t>
        <w:softHyphen/>
        <w:t>jurors who were his personal friends) followed Thomas Lamplugh as archbishop of York in 1691. He made a thorough investiga</w:t>
        <w:softHyphen/>
        <w:t>tion of the affairs of his see, and regulated the disordered chapter of Southwell. He preached at the coronation of Queen Anne and became her almoner and confidential adviser in matters of church and state. He welcomed the Armenian bishops who came to England in 1713, and corresponded with the Prussian court on the possibility of the Anglican liturgy as a means of reconciliation between Lutherans and Calvinists. He died at Bath on the 2nd of February 1714.</w:t>
      </w:r>
    </w:p>
    <w:p>
      <w:pPr>
        <w:pStyle w:val="Style3"/>
        <w:keepNext w:val="0"/>
        <w:keepLines w:val="0"/>
        <w:widowControl w:val="0"/>
        <w:shd w:val="clear" w:color="auto" w:fill="auto"/>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His works (chiefly sermons) were published in 7 volumes in 1754, and in 5 volumes at Oxford in 1829.</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SHARP, RICHARD (1759-1835),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known </w:t>
      </w:r>
      <w:r>
        <w:rPr>
          <w:rFonts w:ascii="Times New Roman" w:eastAsia="Times New Roman" w:hAnsi="Times New Roman" w:cs="Times New Roman"/>
          <w:color w:val="000000"/>
          <w:spacing w:val="0"/>
          <w:w w:val="100"/>
          <w:position w:val="0"/>
          <w:shd w:val="clear" w:color="auto" w:fill="auto"/>
          <w:lang w:val="en-US" w:eastAsia="en-US" w:bidi="en-US"/>
        </w:rPr>
        <w:t>as “ Conversation Sharp,” was bom in Newfoundland in 1759, the son of a British officer in garrison there. He was for many years in business in London, and amassed a large fortune. He was the host of leading literary and political men at his houses in Park Lane and near Dorking. Johnson, Burke, Rogers, Hallam, Grattan, Sydney Smith, James Mill, Wordsworth and Coleridge were among his many friends. From 1806 to 1812 he was M.P. for Castle Rising, and subsequently he represented Portarlington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and Ilchester. He was the author of a volume of </w:t>
      </w:r>
      <w:r>
        <w:rPr>
          <w:rFonts w:ascii="Times New Roman" w:eastAsia="Times New Roman" w:hAnsi="Times New Roman" w:cs="Times New Roman"/>
          <w:i/>
          <w:iCs/>
          <w:color w:val="000000"/>
          <w:spacing w:val="0"/>
          <w:w w:val="100"/>
          <w:position w:val="0"/>
          <w:shd w:val="clear" w:color="auto" w:fill="auto"/>
          <w:lang w:val="en-US" w:eastAsia="en-US" w:bidi="en-US"/>
        </w:rPr>
        <w:t>Letters and Essays in Prose and Verse</w:t>
      </w:r>
      <w:r>
        <w:rPr>
          <w:rFonts w:ascii="Times New Roman" w:eastAsia="Times New Roman" w:hAnsi="Times New Roman" w:cs="Times New Roman"/>
          <w:color w:val="000000"/>
          <w:spacing w:val="0"/>
          <w:w w:val="100"/>
          <w:position w:val="0"/>
          <w:shd w:val="clear" w:color="auto" w:fill="auto"/>
          <w:lang w:val="en-US" w:eastAsia="en-US" w:bidi="en-US"/>
        </w:rPr>
        <w:t xml:space="preserve"> (1834), which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Quarterly Review </w:t>
      </w:r>
      <w:r>
        <w:rPr>
          <w:rFonts w:ascii="Times New Roman" w:eastAsia="Times New Roman" w:hAnsi="Times New Roman" w:cs="Times New Roman"/>
          <w:color w:val="000000"/>
          <w:spacing w:val="0"/>
          <w:w w:val="100"/>
          <w:position w:val="0"/>
          <w:shd w:val="clear" w:color="auto" w:fill="auto"/>
          <w:lang w:val="en-US" w:eastAsia="en-US" w:bidi="en-US"/>
        </w:rPr>
        <w:t>declared to be remarkable for “ wisdom, wit, knowledge of the world and sound criticism.’’ Sharp died at Dorchester on the 30th of March 1835.</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SHARP, WILLIAM (1749-1824), English line-engraver, was born at London on the 29th of January 1749. He was originally apprenticed to what is called a bright engraver, and practised as a writing engraver, but gradually became inspired by the higher branches of the engraver’s art. Among his earlier plates are some illustrations, after Stothard, for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Novelists' Magazine. </w:t>
      </w:r>
      <w:r>
        <w:rPr>
          <w:rFonts w:ascii="Times New Roman" w:eastAsia="Times New Roman" w:hAnsi="Times New Roman" w:cs="Times New Roman"/>
          <w:color w:val="000000"/>
          <w:spacing w:val="0"/>
          <w:w w:val="100"/>
          <w:position w:val="0"/>
          <w:shd w:val="clear" w:color="auto" w:fill="auto"/>
          <w:lang w:val="en-US" w:eastAsia="en-US" w:bidi="en-US"/>
        </w:rPr>
        <w:t>He engraved the “ Doctors Disputing on the Immaculateness of the Virgin ” and the “ Ecce Homo ” of Guido Reni, the “ St Cecilia’’ of Domenichino, the “ Virgin and Child ’’ of Dolci, and the portrait of John Hunter of Sir Joshua Reynolds. His style of en- graving is thoroughly masterly and original, excellent in its play of line and rendering of half-tints and of “ colour.” He died at Chiswick on the 25th of July 1824. In his youth, owing to his hotly expressed adherence to the politics of Paine and Horne Tooke, he was examined by the privy council on a charge of treason. Mesmer and Brothers found in Sharp a stanch believer; and for long he maintained Joanna Southcott at his own expense. As an engraver he achieved a European reputation, and at the time of his death he enjoyed the honour of being a member of the Imperial Academy of Vienna and of the Royal Academy of Munich.</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SHARP, WILLIAM (1856-1905), Scottish poet and man of letters, was bom at Paisley on the 12th of September 1856. His was a double personality, for during his lifetime he was known solely by a series of poetical and critical works of great, but not of outstanding merit, while from 1894 onwards he pub</w:t>
        <w:softHyphen/>
        <w:t xml:space="preserve">lished, with elaborate precautions of secrecy, under the name of “ Fiona Macleod,” a series of stories and sketches in poetical prose which made him perhaps the most conspicuous Scottish writer of the modern Gaelic renaissance. His early life was spent chiefly in the W. highlands of Scotland, and after leaving Glasgow University he went to Australia in 1877 in search of health. After a cruise in the Pacific he settled for some time in London as clerk to a bank, became an intimate of the Rossettis, and began to contribute to the </w:t>
      </w:r>
      <w:r>
        <w:rPr>
          <w:rFonts w:ascii="Times New Roman" w:eastAsia="Times New Roman" w:hAnsi="Times New Roman" w:cs="Times New Roman"/>
          <w:i/>
          <w:iCs/>
          <w:color w:val="000000"/>
          <w:spacing w:val="0"/>
          <w:w w:val="100"/>
          <w:position w:val="0"/>
          <w:shd w:val="clear" w:color="auto" w:fill="auto"/>
          <w:lang w:val="en-US" w:eastAsia="en-US" w:bidi="en-US"/>
        </w:rPr>
        <w:t>Pall Mall Gazette</w:t>
      </w:r>
      <w:r>
        <w:rPr>
          <w:rFonts w:ascii="Times New Roman" w:eastAsia="Times New Roman" w:hAnsi="Times New Roman" w:cs="Times New Roman"/>
          <w:color w:val="000000"/>
          <w:spacing w:val="0"/>
          <w:w w:val="100"/>
          <w:position w:val="0"/>
          <w:shd w:val="clear" w:color="auto" w:fill="auto"/>
          <w:lang w:val="en-US" w:eastAsia="en-US" w:bidi="en-US"/>
        </w:rPr>
        <w:t xml:space="preserve"> and other journals. In 1885 he became art critic to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Glasgow Herald. </w:t>
      </w:r>
      <w:r>
        <w:rPr>
          <w:rFonts w:ascii="Times New Roman" w:eastAsia="Times New Roman" w:hAnsi="Times New Roman" w:cs="Times New Roman"/>
          <w:color w:val="000000"/>
          <w:spacing w:val="0"/>
          <w:w w:val="100"/>
          <w:position w:val="0"/>
          <w:shd w:val="clear" w:color="auto" w:fill="auto"/>
          <w:lang w:val="en-US" w:eastAsia="en-US" w:bidi="en-US"/>
        </w:rPr>
        <w:t xml:space="preserve">He spent much time abroad, in France and Italy, and travelled extensively in America and Africa. In 1885 he married his cousin, Elizabeth Amelia Sharp, who helped him in much of his literary work and collaborated with him in compiling the </w:t>
      </w:r>
      <w:r>
        <w:rPr>
          <w:rFonts w:ascii="Times New Roman" w:eastAsia="Times New Roman" w:hAnsi="Times New Roman" w:cs="Times New Roman"/>
          <w:i/>
          <w:iCs/>
          <w:color w:val="000000"/>
          <w:spacing w:val="0"/>
          <w:w w:val="100"/>
          <w:position w:val="0"/>
          <w:shd w:val="clear" w:color="auto" w:fill="auto"/>
          <w:lang w:val="en-US" w:eastAsia="en-US" w:bidi="en-US"/>
        </w:rPr>
        <w:t>Lyra Celtica</w:t>
      </w:r>
      <w:r>
        <w:rPr>
          <w:rFonts w:ascii="Times New Roman" w:eastAsia="Times New Roman" w:hAnsi="Times New Roman" w:cs="Times New Roman"/>
          <w:color w:val="000000"/>
          <w:spacing w:val="0"/>
          <w:w w:val="100"/>
          <w:position w:val="0"/>
          <w:shd w:val="clear" w:color="auto" w:fill="auto"/>
          <w:lang w:val="en-US" w:eastAsia="en-US" w:bidi="en-US"/>
        </w:rPr>
        <w:t xml:space="preserve"> (1896). His volumes of verse were </w:t>
      </w:r>
      <w:r>
        <w:rPr>
          <w:rFonts w:ascii="Times New Roman" w:eastAsia="Times New Roman" w:hAnsi="Times New Roman" w:cs="Times New Roman"/>
          <w:i/>
          <w:iCs/>
          <w:color w:val="000000"/>
          <w:spacing w:val="0"/>
          <w:w w:val="100"/>
          <w:position w:val="0"/>
          <w:shd w:val="clear" w:color="auto" w:fill="auto"/>
          <w:lang w:val="en-US" w:eastAsia="en-US" w:bidi="en-US"/>
        </w:rPr>
        <w:t>The Human Inheritance</w:t>
      </w:r>
      <w:r>
        <w:rPr>
          <w:rFonts w:ascii="Times New Roman" w:eastAsia="Times New Roman" w:hAnsi="Times New Roman" w:cs="Times New Roman"/>
          <w:color w:val="000000"/>
          <w:spacing w:val="0"/>
          <w:w w:val="100"/>
          <w:position w:val="0"/>
          <w:shd w:val="clear" w:color="auto" w:fill="auto"/>
          <w:lang w:val="en-US" w:eastAsia="en-US" w:bidi="en-US"/>
        </w:rPr>
        <w:t xml:space="preserve"> (1882), </w:t>
      </w:r>
      <w:r>
        <w:rPr>
          <w:rFonts w:ascii="Times New Roman" w:eastAsia="Times New Roman" w:hAnsi="Times New Roman" w:cs="Times New Roman"/>
          <w:i/>
          <w:iCs/>
          <w:color w:val="000000"/>
          <w:spacing w:val="0"/>
          <w:w w:val="100"/>
          <w:position w:val="0"/>
          <w:shd w:val="clear" w:color="auto" w:fill="auto"/>
          <w:lang w:val="en-US" w:eastAsia="en-US" w:bidi="en-US"/>
        </w:rPr>
        <w:t>Earth's Voices</w:t>
      </w:r>
      <w:r>
        <w:rPr>
          <w:rFonts w:ascii="Times New Roman" w:eastAsia="Times New Roman" w:hAnsi="Times New Roman" w:cs="Times New Roman"/>
          <w:color w:val="000000"/>
          <w:spacing w:val="0"/>
          <w:w w:val="100"/>
          <w:position w:val="0"/>
          <w:shd w:val="clear" w:color="auto" w:fill="auto"/>
          <w:lang w:val="en-US" w:eastAsia="en-US" w:bidi="en-US"/>
        </w:rPr>
        <w:t xml:space="preserve"> (1884), </w:t>
      </w:r>
      <w:r>
        <w:rPr>
          <w:rFonts w:ascii="Times New Roman" w:eastAsia="Times New Roman" w:hAnsi="Times New Roman" w:cs="Times New Roman"/>
          <w:i/>
          <w:iCs/>
          <w:color w:val="000000"/>
          <w:spacing w:val="0"/>
          <w:w w:val="100"/>
          <w:position w:val="0"/>
          <w:shd w:val="clear" w:color="auto" w:fill="auto"/>
          <w:lang w:val="en-US" w:eastAsia="en-US" w:bidi="en-US"/>
        </w:rPr>
        <w:t>Romantic Ballads and Poems of Fantasy</w:t>
      </w:r>
      <w:r>
        <w:rPr>
          <w:rFonts w:ascii="Times New Roman" w:eastAsia="Times New Roman" w:hAnsi="Times New Roman" w:cs="Times New Roman"/>
          <w:color w:val="000000"/>
          <w:spacing w:val="0"/>
          <w:w w:val="100"/>
          <w:position w:val="0"/>
          <w:shd w:val="clear" w:color="auto" w:fill="auto"/>
          <w:lang w:val="en-US" w:eastAsia="en-US" w:bidi="en-US"/>
        </w:rPr>
        <w:t xml:space="preserve"> (1886), </w:t>
      </w:r>
      <w:r>
        <w:rPr>
          <w:rFonts w:ascii="Times New Roman" w:eastAsia="Times New Roman" w:hAnsi="Times New Roman" w:cs="Times New Roman"/>
          <w:i/>
          <w:iCs/>
          <w:color w:val="000000"/>
          <w:spacing w:val="0"/>
          <w:w w:val="100"/>
          <w:position w:val="0"/>
          <w:shd w:val="clear" w:color="auto" w:fill="auto"/>
          <w:lang w:val="en-US" w:eastAsia="en-US" w:bidi="en-US"/>
        </w:rPr>
        <w:t>Sospiri di Roma</w:t>
      </w:r>
      <w:r>
        <w:rPr>
          <w:rFonts w:ascii="Times New Roman" w:eastAsia="Times New Roman" w:hAnsi="Times New Roman" w:cs="Times New Roman"/>
          <w:color w:val="000000"/>
          <w:spacing w:val="0"/>
          <w:w w:val="100"/>
          <w:position w:val="0"/>
          <w:shd w:val="clear" w:color="auto" w:fill="auto"/>
          <w:lang w:val="en-US" w:eastAsia="en-US" w:bidi="en-US"/>
        </w:rPr>
        <w:t xml:space="preserve"> (1891), </w:t>
      </w:r>
      <w:r>
        <w:rPr>
          <w:rFonts w:ascii="Times New Roman" w:eastAsia="Times New Roman" w:hAnsi="Times New Roman" w:cs="Times New Roman"/>
          <w:i/>
          <w:iCs/>
          <w:color w:val="000000"/>
          <w:spacing w:val="0"/>
          <w:w w:val="100"/>
          <w:position w:val="0"/>
          <w:shd w:val="clear" w:color="auto" w:fill="auto"/>
          <w:lang w:val="en-US" w:eastAsia="en-US" w:bidi="en-US"/>
        </w:rPr>
        <w:t>Flower o' the Vine</w:t>
      </w:r>
      <w:r>
        <w:rPr>
          <w:rFonts w:ascii="Times New Roman" w:eastAsia="Times New Roman" w:hAnsi="Times New Roman" w:cs="Times New Roman"/>
          <w:color w:val="000000"/>
          <w:spacing w:val="0"/>
          <w:w w:val="100"/>
          <w:position w:val="0"/>
          <w:shd w:val="clear" w:color="auto" w:fill="auto"/>
          <w:lang w:val="en-US" w:eastAsia="en-US" w:bidi="en-US"/>
        </w:rPr>
        <w:t xml:space="preserve"> ( 1894), </w:t>
      </w:r>
      <w:r>
        <w:rPr>
          <w:rFonts w:ascii="Times New Roman" w:eastAsia="Times New Roman" w:hAnsi="Times New Roman" w:cs="Times New Roman"/>
          <w:i/>
          <w:iCs/>
          <w:color w:val="000000"/>
          <w:spacing w:val="0"/>
          <w:w w:val="100"/>
          <w:position w:val="0"/>
          <w:shd w:val="clear" w:color="auto" w:fill="auto"/>
          <w:lang w:val="en-US" w:eastAsia="en-US" w:bidi="en-US"/>
        </w:rPr>
        <w:t>Sospiri d' Italia</w:t>
      </w:r>
      <w:r>
        <w:rPr>
          <w:rFonts w:ascii="Times New Roman" w:eastAsia="Times New Roman" w:hAnsi="Times New Roman" w:cs="Times New Roman"/>
          <w:color w:val="000000"/>
          <w:spacing w:val="0"/>
          <w:w w:val="100"/>
          <w:position w:val="0"/>
          <w:shd w:val="clear" w:color="auto" w:fill="auto"/>
          <w:lang w:val="en-US" w:eastAsia="en-US" w:bidi="en-US"/>
        </w:rPr>
        <w:t xml:space="preserve"> (1906). William Sharp was the general editor of the “ Canterbury Poets ” series. He was a discriminating anthologist, and his </w:t>
      </w:r>
      <w:r>
        <w:rPr>
          <w:rFonts w:ascii="Times New Roman" w:eastAsia="Times New Roman" w:hAnsi="Times New Roman" w:cs="Times New Roman"/>
          <w:i/>
          <w:iCs/>
          <w:color w:val="000000"/>
          <w:spacing w:val="0"/>
          <w:w w:val="100"/>
          <w:position w:val="0"/>
          <w:shd w:val="clear" w:color="auto" w:fill="auto"/>
          <w:lang w:val="en-US" w:eastAsia="en-US" w:bidi="en-US"/>
        </w:rPr>
        <w:t>Sonnets of the Century</w:t>
      </w:r>
      <w:r>
        <w:rPr>
          <w:rFonts w:ascii="Times New Roman" w:eastAsia="Times New Roman" w:hAnsi="Times New Roman" w:cs="Times New Roman"/>
          <w:color w:val="000000"/>
          <w:spacing w:val="0"/>
          <w:w w:val="100"/>
          <w:position w:val="0"/>
          <w:shd w:val="clear" w:color="auto" w:fill="auto"/>
          <w:lang w:val="en-US" w:eastAsia="en-US" w:bidi="en-US"/>
        </w:rPr>
        <w:t xml:space="preserve"> (1886), to which he prefixed a useful treatise on the sonnet, ran through many editions. This was followed by </w:t>
      </w:r>
      <w:r>
        <w:rPr>
          <w:rFonts w:ascii="Times New Roman" w:eastAsia="Times New Roman" w:hAnsi="Times New Roman" w:cs="Times New Roman"/>
          <w:i/>
          <w:iCs/>
          <w:color w:val="000000"/>
          <w:spacing w:val="0"/>
          <w:w w:val="100"/>
          <w:position w:val="0"/>
          <w:shd w:val="clear" w:color="auto" w:fill="auto"/>
          <w:lang w:val="en-US" w:eastAsia="en-US" w:bidi="en-US"/>
        </w:rPr>
        <w:t>American Sonnets</w:t>
      </w:r>
      <w:r>
        <w:rPr>
          <w:rFonts w:ascii="Times New Roman" w:eastAsia="Times New Roman" w:hAnsi="Times New Roman" w:cs="Times New Roman"/>
          <w:color w:val="000000"/>
          <w:spacing w:val="0"/>
          <w:w w:val="100"/>
          <w:position w:val="0"/>
          <w:shd w:val="clear" w:color="auto" w:fill="auto"/>
          <w:lang w:val="en-US" w:eastAsia="en-US" w:bidi="en-US"/>
        </w:rPr>
        <w:t xml:space="preserve"> (1889). He wrote biographies of Dante Gabriel Rossetti (1882), of Shelley (1887), of Heinrich Heine (1888), of Robert Browning (1890), and edited the memoirs of Joseph Severn (1892). The most notable of his novels was </w:t>
      </w:r>
      <w:r>
        <w:rPr>
          <w:rFonts w:ascii="Times New Roman" w:eastAsia="Times New Roman" w:hAnsi="Times New Roman" w:cs="Times New Roman"/>
          <w:i/>
          <w:iCs/>
          <w:color w:val="000000"/>
          <w:spacing w:val="0"/>
          <w:w w:val="100"/>
          <w:position w:val="0"/>
          <w:shd w:val="clear" w:color="auto" w:fill="auto"/>
          <w:lang w:val="en-US" w:eastAsia="en-US" w:bidi="en-US"/>
        </w:rPr>
        <w:t>Silence Farm</w:t>
      </w:r>
      <w:r>
        <w:rPr>
          <w:rFonts w:ascii="Times New Roman" w:eastAsia="Times New Roman" w:hAnsi="Times New Roman" w:cs="Times New Roman"/>
          <w:color w:val="000000"/>
          <w:spacing w:val="0"/>
          <w:w w:val="100"/>
          <w:position w:val="0"/>
          <w:shd w:val="clear" w:color="auto" w:fill="auto"/>
          <w:lang w:val="en-US" w:eastAsia="en-US" w:bidi="en-US"/>
        </w:rPr>
        <w:t xml:space="preserve"> (1899). During the later years of his fife he was obliged for reasons of health to spend all his winters abroad. The secret of his authorship of the “ Fiona Macleod ” books was faithfully kept until his death, which took place at the Castello di Manlace, Sicily, on the 12th of December 1905. As late as the 13th of May 1899 Fiona Macleod had written to the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stating that she wrote only under that name and that it was her own. She began to publish her tales and sketches of the primitive Celtic world in 1894 with </w:t>
      </w:r>
      <w:r>
        <w:rPr>
          <w:rFonts w:ascii="Times New Roman" w:eastAsia="Times New Roman" w:hAnsi="Times New Roman" w:cs="Times New Roman"/>
          <w:i/>
          <w:iCs/>
          <w:color w:val="000000"/>
          <w:spacing w:val="0"/>
          <w:w w:val="100"/>
          <w:position w:val="0"/>
          <w:shd w:val="clear" w:color="auto" w:fill="auto"/>
          <w:lang w:val="en-US" w:eastAsia="en-US" w:bidi="en-US"/>
        </w:rPr>
        <w:t>Pharais: A Romance of the Isles.</w:t>
      </w:r>
      <w:r>
        <w:rPr>
          <w:rFonts w:ascii="Times New Roman" w:eastAsia="Times New Roman" w:hAnsi="Times New Roman" w:cs="Times New Roman"/>
          <w:color w:val="000000"/>
          <w:spacing w:val="0"/>
          <w:w w:val="100"/>
          <w:position w:val="0"/>
          <w:shd w:val="clear" w:color="auto" w:fill="auto"/>
          <w:lang w:val="en-US" w:eastAsia="en-US" w:bidi="en-US"/>
        </w:rPr>
        <w:t xml:space="preserve"> They found only a limited public, though an enthusiastic one. The earlier volumes include </w:t>
      </w:r>
      <w:r>
        <w:rPr>
          <w:rFonts w:ascii="Times New Roman" w:eastAsia="Times New Roman" w:hAnsi="Times New Roman" w:cs="Times New Roman"/>
          <w:i/>
          <w:iCs/>
          <w:color w:val="000000"/>
          <w:spacing w:val="0"/>
          <w:w w:val="100"/>
          <w:position w:val="0"/>
          <w:shd w:val="clear" w:color="auto" w:fill="auto"/>
          <w:lang w:val="en-US" w:eastAsia="en-US" w:bidi="en-US"/>
        </w:rPr>
        <w:t>The Mountain Lovers</w:t>
      </w:r>
      <w:r>
        <w:rPr>
          <w:rFonts w:ascii="Times New Roman" w:eastAsia="Times New Roman" w:hAnsi="Times New Roman" w:cs="Times New Roman"/>
          <w:color w:val="000000"/>
          <w:spacing w:val="0"/>
          <w:w w:val="100"/>
          <w:position w:val="0"/>
          <w:shd w:val="clear" w:color="auto" w:fill="auto"/>
          <w:lang w:val="en-US" w:eastAsia="en-US" w:bidi="en-US"/>
        </w:rPr>
        <w:t xml:space="preserve"> (1895),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Sin-Eater </w:t>
      </w:r>
      <w:r>
        <w:rPr>
          <w:rFonts w:ascii="Times New Roman" w:eastAsia="Times New Roman" w:hAnsi="Times New Roman" w:cs="Times New Roman"/>
          <w:color w:val="000000"/>
          <w:spacing w:val="0"/>
          <w:w w:val="100"/>
          <w:position w:val="0"/>
          <w:shd w:val="clear" w:color="auto" w:fill="auto"/>
          <w:lang w:val="en-US" w:eastAsia="en-US" w:bidi="en-US"/>
        </w:rPr>
        <w:t xml:space="preserve">(1895),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Washer of the Ford and other Legendary Moralities </w:t>
      </w:r>
      <w:r>
        <w:rPr>
          <w:rFonts w:ascii="Times New Roman" w:eastAsia="Times New Roman" w:hAnsi="Times New Roman" w:cs="Times New Roman"/>
          <w:color w:val="000000"/>
          <w:spacing w:val="0"/>
          <w:w w:val="100"/>
          <w:position w:val="0"/>
          <w:shd w:val="clear" w:color="auto" w:fill="auto"/>
          <w:lang w:val="en-US" w:eastAsia="en-US" w:bidi="en-US"/>
        </w:rPr>
        <w:t xml:space="preserve">(1896), &amp;c. In 1897 a collected edition of the shorter stories, with some new ones, was issued as </w:t>
      </w:r>
      <w:r>
        <w:rPr>
          <w:rFonts w:ascii="Times New Roman" w:eastAsia="Times New Roman" w:hAnsi="Times New Roman" w:cs="Times New Roman"/>
          <w:i/>
          <w:iCs/>
          <w:color w:val="000000"/>
          <w:spacing w:val="0"/>
          <w:w w:val="100"/>
          <w:position w:val="0"/>
          <w:shd w:val="clear" w:color="auto" w:fill="auto"/>
          <w:lang w:val="en-US" w:eastAsia="en-US" w:bidi="en-US"/>
        </w:rPr>
        <w:t>Spiritual Tales, Barbaric Tales and Tragic Romances.</w:t>
      </w:r>
      <w:r>
        <w:rPr>
          <w:rFonts w:ascii="Times New Roman" w:eastAsia="Times New Roman" w:hAnsi="Times New Roman" w:cs="Times New Roman"/>
          <w:color w:val="000000"/>
          <w:spacing w:val="0"/>
          <w:w w:val="100"/>
          <w:position w:val="0"/>
          <w:shd w:val="clear" w:color="auto" w:fill="auto"/>
          <w:lang w:val="en-US" w:eastAsia="en-US" w:bidi="en-US"/>
        </w:rPr>
        <w:t xml:space="preserve"> Later volumes are </w:t>
      </w:r>
      <w:r>
        <w:rPr>
          <w:rFonts w:ascii="Times New Roman" w:eastAsia="Times New Roman" w:hAnsi="Times New Roman" w:cs="Times New Roman"/>
          <w:i/>
          <w:iCs/>
          <w:color w:val="000000"/>
          <w:spacing w:val="0"/>
          <w:w w:val="100"/>
          <w:position w:val="0"/>
          <w:shd w:val="clear" w:color="auto" w:fill="auto"/>
          <w:lang w:val="en-US" w:eastAsia="en-US" w:bidi="en-US"/>
        </w:rPr>
        <w:t>The Dominion</w:t>
      </w:r>
    </w:p>
    <w:sectPr>
      <w:footnotePr>
        <w:pos w:val="pageBottom"/>
        <w:numFmt w:val="decimal"/>
        <w:numRestart w:val="continuous"/>
      </w:footnotePr>
      <w:pgSz w:w="12240" w:h="15840"/>
      <w:pgMar w:top="898" w:left="909" w:right="869" w:bottom="55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