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2971"/>
        <w:gridCol w:w="523"/>
        <w:gridCol w:w="859"/>
        <w:gridCol w:w="691"/>
        <w:gridCol w:w="859"/>
        <w:gridCol w:w="523"/>
        <w:gridCol w:w="701"/>
        <w:gridCol w:w="523"/>
        <w:gridCol w:w="696"/>
        <w:gridCol w:w="701"/>
        <w:gridCol w:w="869"/>
      </w:tblGrid>
      <w:tr>
        <w:trPr>
          <w:trHeight w:val="298"/>
        </w:trPr>
        <w:tc>
          <w:tcPr>
            <w:gridSpan w:val="11"/>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Showing the Tonnage of the United States Shipping. 30th June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1909.</w:t>
            </w:r>
          </w:p>
        </w:tc>
      </w:tr>
      <w:tr>
        <w:trPr>
          <w:trHeight w:val="283"/>
        </w:trPr>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Class.</w:t>
            </w:r>
          </w:p>
        </w:tc>
        <w:tc>
          <w:tcPr>
            <w:gridSpan w:val="2"/>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Sailing.</w:t>
            </w:r>
          </w:p>
        </w:tc>
        <w:tc>
          <w:tcPr>
            <w:gridSpan w:val="2"/>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w:t>
            </w:r>
          </w:p>
        </w:tc>
        <w:tc>
          <w:tcPr>
            <w:gridSpan w:val="2"/>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Canal.</w:t>
            </w:r>
          </w:p>
        </w:tc>
        <w:tc>
          <w:tcPr>
            <w:gridSpan w:val="2"/>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Barge.</w:t>
            </w:r>
          </w:p>
        </w:tc>
        <w:tc>
          <w:tcPr>
            <w:gridSpan w:val="2"/>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tc>
      </w:tr>
      <w:tr>
        <w:trPr>
          <w:trHeight w:val="302"/>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Tons.</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Tons.</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Tons.</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Tons.</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w:t>
            </w:r>
          </w:p>
        </w:tc>
        <w:tc>
          <w:tcPr>
            <w:tcBorders>
              <w:top w:val="single" w:sz="4"/>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Tons.</w:t>
            </w:r>
          </w:p>
        </w:tc>
      </w:tr>
      <w:tr>
        <w:trPr>
          <w:trHeight w:val="619"/>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Registered:—</w:t>
            </w:r>
          </w:p>
          <w:p>
            <w:pPr>
              <w:pStyle w:val="Style3"/>
              <w:keepNext w:val="0"/>
              <w:keepLines w:val="0"/>
              <w:widowControl w:val="0"/>
              <w:shd w:val="clear" w:color="auto" w:fill="auto"/>
              <w:tabs>
                <w:tab w:pos="1790" w:val="left"/>
              </w:tabs>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Foreign trade</w:t>
              <w:tab/>
              <w:t>....</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Whale fisheries ....</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445</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225.376</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5.682</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490</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575,226</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665</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77,921</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1,600</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878,523</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8,982</w:t>
            </w:r>
          </w:p>
        </w:tc>
      </w:tr>
      <w:tr>
        <w:trPr>
          <w:trHeight w:val="307"/>
        </w:trPr>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470</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231,058</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498</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578,526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665</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77,921</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1,633</w:t>
            </w:r>
          </w:p>
        </w:tc>
        <w:tc>
          <w:tcPr>
            <w:tcBorders>
              <w:top w:val="single" w:sz="4"/>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887,505</w:t>
            </w:r>
          </w:p>
        </w:tc>
      </w:tr>
      <w:tr>
        <w:trPr>
          <w:trHeight w:val="62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Enrolled:—</w:t>
            </w:r>
          </w:p>
          <w:p>
            <w:pPr>
              <w:pStyle w:val="Style3"/>
              <w:keepNext w:val="0"/>
              <w:keepLines w:val="0"/>
              <w:widowControl w:val="0"/>
              <w:shd w:val="clear" w:color="auto" w:fill="auto"/>
              <w:tabs>
                <w:tab w:pos="2126" w:val="left"/>
                <w:tab w:pos="2462" w:val="left"/>
              </w:tabs>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Coasting trade .</w:t>
              <w:tab/>
              <w:t>.</w:t>
              <w:tab/>
              <w:t>.</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Cod and mackerel fisheries</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3799</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341</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1,391,965</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33.232</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6,327</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4,099,087</w:t>
            </w:r>
          </w:p>
          <w:p>
            <w:pPr>
              <w:pStyle w:val="Style3"/>
              <w:keepNext w:val="0"/>
              <w:keepLines w:val="0"/>
              <w:widowControl w:val="0"/>
              <w:shd w:val="clear" w:color="auto" w:fill="auto"/>
              <w:bidi w:val="0"/>
              <w:spacing w:line="228"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7,979</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745</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80,951</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2769</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767.839</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13,640</w:t>
            </w:r>
          </w:p>
          <w:p>
            <w:pPr>
              <w:pStyle w:val="Style3"/>
              <w:keepNext w:val="0"/>
              <w:keepLines w:val="0"/>
              <w:widowControl w:val="0"/>
              <w:shd w:val="clear" w:color="auto" w:fill="auto"/>
              <w:bidi w:val="0"/>
              <w:spacing w:line="20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432</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6,339.842</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41,211</w:t>
            </w:r>
          </w:p>
        </w:tc>
      </w:tr>
      <w:tr>
        <w:trPr>
          <w:trHeight w:val="307"/>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4140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1,425,197</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6,418</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4,107,066</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745</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80,951</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2769</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767,839</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14,072</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6,381,053</w:t>
            </w:r>
          </w:p>
        </w:tc>
      </w:tr>
      <w:tr>
        <w:trPr>
          <w:trHeight w:val="62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Licensed:—</w:t>
            </w:r>
          </w:p>
          <w:p>
            <w:pPr>
              <w:pStyle w:val="Style3"/>
              <w:keepNext w:val="0"/>
              <w:keepLines w:val="0"/>
              <w:widowControl w:val="0"/>
              <w:shd w:val="clear" w:color="auto" w:fill="auto"/>
              <w:tabs>
                <w:tab w:pos="2130" w:val="left"/>
                <w:tab w:pos="2466" w:val="left"/>
              </w:tabs>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Coasting trade .</w:t>
              <w:tab/>
              <w:t>.</w:t>
              <w:tab/>
              <w:t>.</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Cod and mackerel fisheries</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4672</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430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50,986</w:t>
            </w:r>
          </w:p>
          <w:p>
            <w:pPr>
              <w:pStyle w:val="Style3"/>
              <w:keepNext w:val="0"/>
              <w:keepLines w:val="0"/>
              <w:widowControl w:val="0"/>
              <w:shd w:val="clear" w:color="auto" w:fill="auto"/>
              <w:bidi w:val="0"/>
              <w:spacing w:line="228"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3.835</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4,241 484</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58,470</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156</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L744</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9,069</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914</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3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111,200 8,997</w:t>
            </w:r>
          </w:p>
        </w:tc>
      </w:tr>
      <w:tr>
        <w:trPr>
          <w:trHeight w:val="312"/>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5102</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54,821</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4,725</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63,632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156</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1,744</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9.983</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120,197</w:t>
            </w:r>
          </w:p>
        </w:tc>
      </w:tr>
      <w:tr>
        <w:trPr>
          <w:trHeight w:val="283"/>
        </w:trPr>
        <w:tc>
          <w:tcPr>
            <w:tcBorders>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Grand Total ....</w:t>
            </w:r>
          </w:p>
        </w:tc>
        <w:tc>
          <w:tcPr>
            <w:tcBorders>
              <w:top w:val="single" w:sz="4"/>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9712</w:t>
            </w:r>
          </w:p>
        </w:tc>
        <w:tc>
          <w:tcPr>
            <w:tcBorders>
              <w:top w:val="single" w:sz="4"/>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1,711,076</w:t>
            </w:r>
          </w:p>
        </w:tc>
        <w:tc>
          <w:tcPr>
            <w:tcBorders>
              <w:top w:val="single" w:sz="4"/>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11,641</w:t>
            </w:r>
          </w:p>
        </w:tc>
        <w:tc>
          <w:tcPr>
            <w:tcBorders>
              <w:top w:val="single" w:sz="4"/>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4,749,224</w:t>
            </w:r>
          </w:p>
        </w:tc>
        <w:tc>
          <w:tcPr>
            <w:tcBorders>
              <w:top w:val="single" w:sz="4"/>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745</w:t>
            </w:r>
          </w:p>
        </w:tc>
        <w:tc>
          <w:tcPr>
            <w:tcBorders>
              <w:top w:val="single" w:sz="4"/>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80,951</w:t>
            </w:r>
          </w:p>
        </w:tc>
        <w:tc>
          <w:tcPr>
            <w:tcBorders>
              <w:top w:val="single" w:sz="4"/>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3590</w:t>
            </w:r>
          </w:p>
        </w:tc>
        <w:tc>
          <w:tcPr>
            <w:tcBorders>
              <w:top w:val="single" w:sz="4"/>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847.504</w:t>
            </w:r>
          </w:p>
        </w:tc>
        <w:tc>
          <w:tcPr>
            <w:tcBorders>
              <w:top w:val="single" w:sz="4"/>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25,688</w:t>
            </w:r>
          </w:p>
        </w:tc>
        <w:tc>
          <w:tcPr>
            <w:tcBorders>
              <w:top w:val="single" w:sz="4"/>
              <w:left w:val="single" w:sz="4"/>
              <w:bottom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7.388,755</w:t>
            </w:r>
          </w:p>
        </w:tc>
      </w:tr>
    </w:tbl>
    <w:p>
      <w:pPr>
        <w:sectPr>
          <w:footnotePr>
            <w:pos w:val="pageBottom"/>
            <w:numFmt w:val="decimal"/>
            <w:numRestart w:val="continuous"/>
          </w:footnotePr>
          <w:pgSz w:w="12240" w:h="15840"/>
          <w:pgMar w:top="1132" w:left="1184" w:right="704" w:bottom="8166" w:header="0" w:footer="3" w:gutter="0"/>
          <w:cols w:space="720"/>
          <w:noEndnote/>
          <w:rtlGutter w:val="0"/>
          <w:docGrid w:linePitch="360"/>
        </w:sectPr>
      </w:pPr>
    </w:p>
    <w:p>
      <w:pPr>
        <w:pStyle w:val="Style10"/>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documented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United States, and the division is based on the trade on which the vessels are employed, and not as in the United Kingdom on the character of the vessels and their fitness to engage in trade to distant countries or on more local service.</w:t>
      </w:r>
    </w:p>
    <w:p>
      <w:pPr>
        <w:pStyle w:val="Style10"/>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the United States Navigation Laws all trade between American ports no matter how far they are separated—such as New York to San Francisco, or from either of these ports to Honolulu or Manila—is declared to be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coasting trade. </w:t>
      </w:r>
      <w:r>
        <w:rPr>
          <w:rFonts w:ascii="Times New Roman" w:eastAsia="Times New Roman" w:hAnsi="Times New Roman" w:cs="Times New Roman"/>
          <w:color w:val="000000"/>
          <w:spacing w:val="0"/>
          <w:w w:val="100"/>
          <w:position w:val="0"/>
          <w:sz w:val="17"/>
          <w:szCs w:val="17"/>
          <w:shd w:val="clear" w:color="auto" w:fill="auto"/>
          <w:lang w:val="en-US" w:eastAsia="en-US" w:bidi="en-US"/>
        </w:rPr>
        <w:t>None but United States vessels are allowed to engage in this trade, which in recent years has developed so rapidly as to employ the main part of the American Mercantile Marine; it demands large numbers of ocean-going vessels, and many vessels have been transferred from the Foreign Trade to meet the demand.</w:t>
      </w:r>
    </w:p>
    <w:p>
      <w:pPr>
        <w:pStyle w:val="Style10"/>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LIoyd’s Register for 1909-1910 gives the following figures for United States shipping, excluding all vessels under 100 tons and all wooden vessels on the Great Lakes :—</w:t>
      </w:r>
    </w:p>
    <w:tbl>
      <w:tblPr>
        <w:tblOverlap w:val="never"/>
        <w:jc w:val="left"/>
        <w:tblLayout w:type="fixed"/>
      </w:tblPr>
      <w:tblGrid>
        <w:gridCol w:w="1718"/>
        <w:gridCol w:w="869"/>
        <w:gridCol w:w="859"/>
      </w:tblGrid>
      <w:tr>
        <w:trPr>
          <w:trHeight w:val="29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Number.</w:t>
            </w:r>
          </w:p>
        </w:tc>
        <w:tc>
          <w:tcPr>
            <w:tcBorders>
              <w:top w:val="single" w:sz="4"/>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Tons.</w:t>
            </w:r>
          </w:p>
        </w:tc>
      </w:tr>
      <w:tr>
        <w:trPr>
          <w:trHeight w:val="226"/>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 Sea Coasts .</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2899</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2,791,282</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Northern Lakes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2,118,276</w:t>
            </w:r>
          </w:p>
        </w:tc>
      </w:tr>
      <w:tr>
        <w:trPr>
          <w:trHeight w:val="240"/>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Philippines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108</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44,254</w:t>
            </w:r>
          </w:p>
        </w:tc>
      </w:tr>
      <w:tr>
        <w:trPr>
          <w:trHeight w:val="264"/>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3590</w:t>
            </w:r>
          </w:p>
        </w:tc>
        <w:tc>
          <w:tcPr>
            <w:tcBorders>
              <w:top w:val="single" w:sz="4"/>
              <w:left w:val="single" w:sz="4"/>
              <w:bottom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4,953.812</w:t>
            </w:r>
          </w:p>
        </w:tc>
      </w:tr>
    </w:tbl>
    <w:p>
      <w:pPr>
        <w:widowControl w:val="0"/>
        <w:spacing w:after="119" w:line="1" w:lineRule="exact"/>
      </w:pPr>
    </w:p>
    <w:p>
      <w:pPr>
        <w:pStyle w:val="Style10"/>
        <w:keepNext w:val="0"/>
        <w:keepLines w:val="0"/>
        <w:widowControl w:val="0"/>
        <w:shd w:val="clear" w:color="auto" w:fill="auto"/>
        <w:bidi w:val="0"/>
        <w:spacing w:line="192" w:lineRule="auto"/>
        <w:ind w:left="0" w:firstLine="360"/>
        <w:jc w:val="left"/>
        <w:rPr>
          <w:sz w:val="17"/>
          <w:szCs w:val="17"/>
        </w:rPr>
        <w:sectPr>
          <w:footnotePr>
            <w:pos w:val="pageBottom"/>
            <w:numFmt w:val="decimal"/>
            <w:numRestart w:val="continuous"/>
          </w:footnotePr>
          <w:type w:val="continuous"/>
          <w:pgSz w:w="12240" w:h="15840"/>
          <w:pgMar w:top="1132" w:left="1184" w:right="704" w:bottom="113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Large numbers of American vessels are not included in the American Returns—such as yachts, boats and l</w:t>
      </w:r>
      <w:r>
        <w:rPr>
          <w:rFonts w:ascii="Times New Roman" w:eastAsia="Times New Roman" w:hAnsi="Times New Roman" w:cs="Times New Roman"/>
          <w:color w:val="000000"/>
          <w:spacing w:val="0"/>
          <w:w w:val="100"/>
          <w:position w:val="0"/>
          <w:sz w:val="17"/>
          <w:szCs w:val="17"/>
          <w:shd w:val="clear" w:color="auto" w:fill="auto"/>
          <w:lang w:val="en-US" w:eastAsia="en-US" w:bidi="en-US"/>
        </w:rPr>
        <w:t>ighters employed within the</w:t>
      </w:r>
    </w:p>
    <w:sectPr>
      <w:footnotePr>
        <w:pos w:val="pageBottom"/>
        <w:numFmt w:val="decimal"/>
        <w:numRestart w:val="continuous"/>
      </w:footnotePr>
      <w:type w:val="continuous"/>
      <w:pgSz w:w="12240" w:h="15840"/>
      <w:pgMar w:top="1132" w:left="1184" w:right="704" w:bottom="11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8"/>
      <w:szCs w:val="18"/>
      <w:u w:val="none"/>
    </w:rPr>
  </w:style>
  <w:style w:type="character" w:customStyle="1" w:styleId="CharStyle11">
    <w:name w:val="Body text_"/>
    <w:basedOn w:val="DefaultParagraphFont"/>
    <w:link w:val="Style10"/>
    <w:rPr>
      <w:b w:val="0"/>
      <w:bCs w:val="0"/>
      <w:i w:val="0"/>
      <w:iCs w:val="0"/>
      <w:smallCaps w:val="0"/>
      <w:strike w:val="0"/>
      <w:sz w:val="18"/>
      <w:szCs w:val="18"/>
      <w:u w:val="none"/>
    </w:rPr>
  </w:style>
  <w:style w:type="paragraph" w:customStyle="1" w:styleId="Style3">
    <w:name w:val="Other"/>
    <w:basedOn w:val="Normal"/>
    <w:link w:val="CharStyle4"/>
    <w:pPr>
      <w:widowControl w:val="0"/>
      <w:shd w:val="clear" w:color="auto" w:fill="FFFFFF"/>
      <w:ind w:firstLine="220"/>
      <w:jc w:val="both"/>
    </w:pPr>
    <w:rPr>
      <w:b w:val="0"/>
      <w:bCs w:val="0"/>
      <w:i w:val="0"/>
      <w:iCs w:val="0"/>
      <w:smallCaps w:val="0"/>
      <w:strike w:val="0"/>
      <w:sz w:val="18"/>
      <w:szCs w:val="18"/>
      <w:u w:val="none"/>
    </w:rPr>
  </w:style>
  <w:style w:type="paragraph" w:styleId="Style10">
    <w:name w:val="Body text"/>
    <w:basedOn w:val="Normal"/>
    <w:link w:val="CharStyle11"/>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