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 529, the school of philosophy at Athens was disendowed and the teaching of philosophy forbidden, the scholars Damascius, Simplicius, Priscianus and four others resolved in 531 or 532 to seek the protection of Chosroes, king of Persia, but, though they received a hearty welcome, they found themselves unable to endure a continued residence amongst barbarians. Before two years had elapsed they returned to Greece, Chosroes, in his treaty of peace concluded with Justinian in 533, expressly stipulating that the seven philosophers should be allowed “ to return to their own homes, and to live henceforward in the enjoyment of liberty of conscience ” (Agathias ii. 30, 31). After his return from Persia Simplicius wrote commentaries upon Aristotle’s </w:t>
      </w:r>
      <w:r>
        <w:rPr>
          <w:rFonts w:ascii="Times New Roman" w:eastAsia="Times New Roman" w:hAnsi="Times New Roman" w:cs="Times New Roman"/>
          <w:i/>
          <w:iCs/>
          <w:color w:val="000000"/>
          <w:spacing w:val="0"/>
          <w:w w:val="100"/>
          <w:position w:val="0"/>
          <w:shd w:val="clear" w:color="auto" w:fill="auto"/>
          <w:lang w:val="en-US" w:eastAsia="en-US" w:bidi="en-US"/>
        </w:rPr>
        <w:t>De coelo, Physica, De anima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Categoriae,</w:t>
      </w:r>
      <w:r>
        <w:rPr>
          <w:rFonts w:ascii="Times New Roman" w:eastAsia="Times New Roman" w:hAnsi="Times New Roman" w:cs="Times New Roman"/>
          <w:color w:val="000000"/>
          <w:spacing w:val="0"/>
          <w:w w:val="100"/>
          <w:position w:val="0"/>
          <w:shd w:val="clear" w:color="auto" w:fill="auto"/>
          <w:lang w:val="en-US" w:eastAsia="en-US" w:bidi="en-US"/>
        </w:rPr>
        <w:t xml:space="preserve"> which, with a commentary upon the </w:t>
      </w:r>
      <w:r>
        <w:rPr>
          <w:rFonts w:ascii="Times New Roman" w:eastAsia="Times New Roman" w:hAnsi="Times New Roman" w:cs="Times New Roman"/>
          <w:i/>
          <w:iCs/>
          <w:color w:val="000000"/>
          <w:spacing w:val="0"/>
          <w:w w:val="100"/>
          <w:position w:val="0"/>
          <w:shd w:val="clear" w:color="auto" w:fill="auto"/>
          <w:lang w:val="en-US" w:eastAsia="en-US" w:bidi="en-US"/>
        </w:rPr>
        <w:t>Enchiridion</w:t>
      </w:r>
      <w:r>
        <w:rPr>
          <w:rFonts w:ascii="Times New Roman" w:eastAsia="Times New Roman" w:hAnsi="Times New Roman" w:cs="Times New Roman"/>
          <w:color w:val="000000"/>
          <w:spacing w:val="0"/>
          <w:w w:val="100"/>
          <w:position w:val="0"/>
          <w:shd w:val="clear" w:color="auto" w:fill="auto"/>
          <w:lang w:val="en-US" w:eastAsia="en-US" w:bidi="en-US"/>
        </w:rPr>
        <w:t xml:space="preserve"> of Epictetus, have survived. Simplicius is not an original thinker, but his remarks are thoughtful and intelligent and his learning is prodigious. To the student of Greek philosophy his commentaries are in</w:t>
        <w:softHyphen/>
        <w:t>valuable, as they contain many fragments of the older philo</w:t>
        <w:softHyphen/>
        <w:t xml:space="preserve">sophers as well as of his immediate predecessors. (See </w:t>
      </w:r>
      <w:r>
        <w:rPr>
          <w:rFonts w:ascii="Times New Roman" w:eastAsia="Times New Roman" w:hAnsi="Times New Roman" w:cs="Times New Roman"/>
          <w:smallCaps/>
          <w:color w:val="000000"/>
          <w:spacing w:val="0"/>
          <w:w w:val="100"/>
          <w:position w:val="0"/>
          <w:shd w:val="clear" w:color="auto" w:fill="auto"/>
          <w:lang w:val="en-US" w:eastAsia="en-US" w:bidi="en-US"/>
        </w:rPr>
        <w:t>Neo</w:t>
        <w:softHyphen/>
        <w:t>platonism.)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J. A. Fabricius, </w:t>
      </w:r>
      <w:r>
        <w:rPr>
          <w:rFonts w:ascii="Times New Roman" w:eastAsia="Times New Roman" w:hAnsi="Times New Roman" w:cs="Times New Roman"/>
          <w:i/>
          <w:iCs/>
          <w:color w:val="000000"/>
          <w:spacing w:val="0"/>
          <w:w w:val="100"/>
          <w:position w:val="0"/>
          <w:shd w:val="clear" w:color="auto" w:fill="auto"/>
          <w:lang w:val="en-US" w:eastAsia="en-US" w:bidi="en-US"/>
        </w:rPr>
        <w:t>Bibliotheca Græca,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ix. 529 seq., who praises very highly Simplicius’s commentary on the </w:t>
      </w:r>
      <w:r>
        <w:rPr>
          <w:rFonts w:ascii="Times New Roman" w:eastAsia="Times New Roman" w:hAnsi="Times New Roman" w:cs="Times New Roman"/>
          <w:i/>
          <w:iCs/>
          <w:color w:val="000000"/>
          <w:spacing w:val="0"/>
          <w:w w:val="100"/>
          <w:position w:val="0"/>
          <w:shd w:val="clear" w:color="auto" w:fill="auto"/>
          <w:lang w:val="en-US" w:eastAsia="en-US" w:bidi="en-US"/>
        </w:rPr>
        <w:t>Enchiridion;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 A. Brandis’s article in Smith’s </w:t>
      </w:r>
      <w:r>
        <w:rPr>
          <w:rFonts w:ascii="Times New Roman" w:eastAsia="Times New Roman" w:hAnsi="Times New Roman" w:cs="Times New Roman"/>
          <w:i/>
          <w:iCs/>
          <w:color w:val="000000"/>
          <w:spacing w:val="0"/>
          <w:w w:val="100"/>
          <w:position w:val="0"/>
          <w:shd w:val="clear" w:color="auto" w:fill="auto"/>
          <w:lang w:val="en-US" w:eastAsia="en-US" w:bidi="en-US"/>
        </w:rPr>
        <w:t>Dict. of Greek and Roman Biography;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 Zeller, </w:t>
      </w:r>
      <w:r>
        <w:rPr>
          <w:rFonts w:ascii="Times New Roman" w:eastAsia="Times New Roman" w:hAnsi="Times New Roman" w:cs="Times New Roman"/>
          <w:i/>
          <w:iCs/>
          <w:color w:val="000000"/>
          <w:spacing w:val="0"/>
          <w:w w:val="100"/>
          <w:position w:val="0"/>
          <w:shd w:val="clear" w:color="auto" w:fill="auto"/>
          <w:lang w:val="en-US" w:eastAsia="en-US" w:bidi="en-US"/>
        </w:rPr>
        <w:t>D. Phil. d. Gr.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ii. 851 seq., also Ch. A. Brandis, “Über d. griech.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Ausleger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 Aristot.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Organons,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Abh. Berl. Akad.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(1833); C. G. Zumpt,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“Über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Bestand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 phil.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Schulen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Athen,”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ibid. (1842); Chaignet, </w:t>
      </w:r>
      <w:r>
        <w:rPr>
          <w:rFonts w:ascii="Times New Roman" w:eastAsia="Times New Roman" w:hAnsi="Times New Roman" w:cs="Times New Roman"/>
          <w:i/>
          <w:iCs/>
          <w:color w:val="000000"/>
          <w:spacing w:val="0"/>
          <w:w w:val="100"/>
          <w:position w:val="0"/>
          <w:shd w:val="clear" w:color="auto" w:fill="auto"/>
          <w:lang w:val="fr-FR" w:eastAsia="fr-FR" w:bidi="fr-FR"/>
        </w:rPr>
        <w:t>Histoire de la psychologie des Grecs</w:t>
      </w:r>
      <w:r>
        <w:rPr>
          <w:rFonts w:ascii="Times New Roman" w:eastAsia="Times New Roman" w:hAnsi="Times New Roman" w:cs="Times New Roman"/>
          <w:i/>
          <w:iCs/>
          <w:color w:val="000000"/>
          <w:spacing w:val="0"/>
          <w:w w:val="100"/>
          <w:position w:val="0"/>
          <w:shd w:val="clear" w:color="auto" w:fill="auto"/>
          <w:lang w:val="en-US" w:eastAsia="en-US" w:bidi="en-US"/>
        </w:rPr>
        <w:t>, 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357;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Zahl fleisch,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Polemik </w:t>
      </w:r>
      <w:r>
        <w:rPr>
          <w:rFonts w:ascii="Times New Roman" w:eastAsia="Times New Roman" w:hAnsi="Times New Roman" w:cs="Times New Roman"/>
          <w:i/>
          <w:iCs/>
          <w:color w:val="000000"/>
          <w:spacing w:val="0"/>
          <w:w w:val="100"/>
          <w:position w:val="0"/>
          <w:shd w:val="clear" w:color="auto" w:fill="auto"/>
          <w:lang w:val="fr-FR" w:eastAsia="fr-FR" w:bidi="fr-FR"/>
        </w:rPr>
        <w:t>des S.</w:t>
      </w:r>
    </w:p>
    <w:p>
      <w:pPr>
        <w:pStyle w:val="Style3"/>
        <w:keepNext w:val="0"/>
        <w:keepLines w:val="0"/>
        <w:widowControl w:val="0"/>
        <w:shd w:val="clear" w:color="auto" w:fill="auto"/>
        <w:tabs>
          <w:tab w:pos="3821" w:val="left"/>
        </w:tabs>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SIMPLON PASS, </w:t>
      </w:r>
      <w:r>
        <w:rPr>
          <w:rFonts w:ascii="Times New Roman" w:eastAsia="Times New Roman" w:hAnsi="Times New Roman" w:cs="Times New Roman"/>
          <w:color w:val="000000"/>
          <w:spacing w:val="0"/>
          <w:w w:val="100"/>
          <w:position w:val="0"/>
          <w:shd w:val="clear" w:color="auto" w:fill="auto"/>
          <w:lang w:val="en-US" w:eastAsia="en-US" w:bidi="en-US"/>
        </w:rPr>
        <w:t xml:space="preserve">a pass over the Alps. Not known early save as a purely local route, the Simplon Pass rose into importance when Napoleon caused the carriage road to be built across it between 1800 and 1807, though it suffered a new eclipse on the opening of the Mont </w:t>
      </w:r>
      <w:r>
        <w:rPr>
          <w:rFonts w:ascii="Times New Roman" w:eastAsia="Times New Roman" w:hAnsi="Times New Roman" w:cs="Times New Roman"/>
          <w:color w:val="000000"/>
          <w:spacing w:val="0"/>
          <w:w w:val="100"/>
          <w:position w:val="0"/>
          <w:shd w:val="clear" w:color="auto" w:fill="auto"/>
          <w:lang w:val="de-DE" w:eastAsia="de-DE" w:bidi="de-DE"/>
        </w:rPr>
        <w:t xml:space="preserve">Cenis </w:t>
      </w:r>
      <w:r>
        <w:rPr>
          <w:rFonts w:ascii="Times New Roman" w:eastAsia="Times New Roman" w:hAnsi="Times New Roman" w:cs="Times New Roman"/>
          <w:color w:val="000000"/>
          <w:spacing w:val="0"/>
          <w:w w:val="100"/>
          <w:position w:val="0"/>
          <w:shd w:val="clear" w:color="auto" w:fill="auto"/>
          <w:lang w:val="en-US" w:eastAsia="en-US" w:bidi="en-US"/>
        </w:rPr>
        <w:t xml:space="preserve">(1871) and St </w:t>
      </w:r>
      <w:r>
        <w:rPr>
          <w:rFonts w:ascii="Times New Roman" w:eastAsia="Times New Roman" w:hAnsi="Times New Roman" w:cs="Times New Roman"/>
          <w:color w:val="000000"/>
          <w:spacing w:val="0"/>
          <w:w w:val="100"/>
          <w:position w:val="0"/>
          <w:shd w:val="clear" w:color="auto" w:fill="auto"/>
          <w:lang w:val="de-DE" w:eastAsia="de-DE" w:bidi="de-DE"/>
        </w:rPr>
        <w:t xml:space="preserve">Gotthard </w:t>
      </w:r>
      <w:r>
        <w:rPr>
          <w:rFonts w:ascii="Times New Roman" w:eastAsia="Times New Roman" w:hAnsi="Times New Roman" w:cs="Times New Roman"/>
          <w:color w:val="000000"/>
          <w:spacing w:val="0"/>
          <w:w w:val="100"/>
          <w:position w:val="0"/>
          <w:shd w:val="clear" w:color="auto" w:fill="auto"/>
          <w:lang w:val="en-US" w:eastAsia="en-US" w:bidi="en-US"/>
        </w:rPr>
        <w:t>railways (1882). The Simplon tunnel was opened in 1906. The pass proper starts from Brieg (Swiss canton of the Valais), which is in the upper Rhône valley and 90</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by rail from Lausanne, past St Maurice and Sion. From Brieg it is about 14 m. up to the pass (6592 ft.), close to which is the hospice (first mentioned in 1235) in the charge of Austin Canons from the Great St Bernard. The road descends past the Swiss village of Simplon, and passes through the wonderful rock defile of Gondo before entering Italy at Iselle (28 m. from Brieg). Here the road joins the railway line through the tunnel, which is 12</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m. in length, and 2313 ft. high, being thus both the longest and the lowest tunnel through the Alps. From Iselle it is about 11 m. by rail to Domo d’Ossola, whence the Toce or Tosa valley is followed to the Lago Maggiore (23 m.). The new line runs along the W. shore of the Lago Maggiore past Baveno, Stresa and Arona, and so on to Milan.</w:t>
        <w:tab/>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A. B. C.)</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SIMPSON, SIR JAMES YOUNG </w:t>
      </w:r>
      <w:r>
        <w:rPr>
          <w:rFonts w:ascii="Times New Roman" w:eastAsia="Times New Roman" w:hAnsi="Times New Roman" w:cs="Times New Roman"/>
          <w:color w:val="000000"/>
          <w:spacing w:val="0"/>
          <w:w w:val="100"/>
          <w:position w:val="0"/>
          <w:shd w:val="clear" w:color="auto" w:fill="auto"/>
          <w:lang w:val="en-US" w:eastAsia="en-US" w:bidi="en-US"/>
        </w:rPr>
        <w:t>(1811-1870), Scottish physician, was bom at Bathgate, Linlithgow, Scotland, on the 7th of June 1811. His father was a baker in that town, and James was the youngest of a family of seven. At the age of fourteen he entered the university of Edinburgh as a student in the arts classes. Two years later he began his medical studies. At the age of nineteen he obtained the licence of the College of Surgeons, and two years afterwards took the degree of doctor of medicine. Dr John Thomson (1765-1846), who then occupied the chair of pathology in the university, impressed with Simpson’s graduation thesis, "On Death from Inflammation,” offered him his assistantship. The offer was accepted, and during the session 1837-1838 he acted as interim lecturer on pathology during the illness of the professor. The following winter he delivered his first course of lectures on obstetric medicine in the extra-academical school. In February 1840 he was elected to the professorship of medicine and midwifery in the university. Towards the end of 1846 he was present at an operation per</w:t>
        <w:softHyphen/>
        <w:t xml:space="preserve">formed by Robert Liston on a patient rendered unconscious by the inhalation of sulphuric ether. The success of the proceeding was so marked that Simpson immediately began to use it in midwifery practice. He continued, however, to search for other substances having similar effects, and in March 1847 he read a paper on chloroform to the Medico-Chirurgical Society of </w:t>
      </w:r>
      <w:r>
        <w:rPr>
          <w:rFonts w:ascii="Times New Roman" w:eastAsia="Times New Roman" w:hAnsi="Times New Roman" w:cs="Times New Roman"/>
          <w:color w:val="000000"/>
          <w:spacing w:val="0"/>
          <w:w w:val="100"/>
          <w:position w:val="0"/>
          <w:shd w:val="clear" w:color="auto" w:fill="auto"/>
          <w:lang w:val="en-US" w:eastAsia="en-US" w:bidi="en-US"/>
        </w:rPr>
        <w:t>Edinburgh, in which he fully detailed the history of the use of anaesthetics from the earliest times, but especially dwelt upon the advantages of chloroform over ether. He advocated its use, not only for the prevention of pain in surgical operations, but also for the relief of pain in obstetrical practice, and his un</w:t>
        <w:softHyphen/>
        <w:t>compromising advocacy of its use in the latter class of cases gave rise to one of the angriest and most widespread contro</w:t>
        <w:softHyphen/>
        <w:t>versies of the time. In 1847 he was appointed a physician to the queen in Scotland. In 1859 he advocated the use of acu</w:t>
        <w:softHyphen/>
        <w:t>pressure in place of ligatures for arresting the bleeding of cut arteries, but of more importance were his improvements in the methods of gynaecological diagnosis and obstetrics. His contributions to the literature of his profession were very numer</w:t>
        <w:softHyphen/>
        <w:t xml:space="preserve">ous, embracing </w:t>
      </w:r>
      <w:r>
        <w:rPr>
          <w:rFonts w:ascii="Times New Roman" w:eastAsia="Times New Roman" w:hAnsi="Times New Roman" w:cs="Times New Roman"/>
          <w:i/>
          <w:iCs/>
          <w:color w:val="000000"/>
          <w:spacing w:val="0"/>
          <w:w w:val="100"/>
          <w:position w:val="0"/>
          <w:shd w:val="clear" w:color="auto" w:fill="auto"/>
          <w:lang w:val="en-US" w:eastAsia="en-US" w:bidi="en-US"/>
        </w:rPr>
        <w:t>Obstetric Memoirs and Contributions</w:t>
      </w:r>
      <w:r>
        <w:rPr>
          <w:rFonts w:ascii="Times New Roman" w:eastAsia="Times New Roman" w:hAnsi="Times New Roman" w:cs="Times New Roman"/>
          <w:color w:val="000000"/>
          <w:spacing w:val="0"/>
          <w:w w:val="100"/>
          <w:position w:val="0"/>
          <w:shd w:val="clear" w:color="auto" w:fill="auto"/>
          <w:lang w:val="en-US" w:eastAsia="en-US" w:bidi="en-US"/>
        </w:rPr>
        <w:t xml:space="preserve"> (2 vols.), </w:t>
      </w:r>
      <w:r>
        <w:rPr>
          <w:rFonts w:ascii="Times New Roman" w:eastAsia="Times New Roman" w:hAnsi="Times New Roman" w:cs="Times New Roman"/>
          <w:i/>
          <w:iCs/>
          <w:color w:val="000000"/>
          <w:spacing w:val="0"/>
          <w:w w:val="100"/>
          <w:position w:val="0"/>
          <w:shd w:val="clear" w:color="auto" w:fill="auto"/>
          <w:lang w:val="en-US" w:eastAsia="en-US" w:bidi="en-US"/>
        </w:rPr>
        <w:t>Homoeopathy, Acupressure, Selected Obstetrical Works, An</w:t>
        <w:softHyphen/>
        <w:t>aesthesia and Hospitalism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Clinical Lectures on the Diseases of Women.</w:t>
      </w:r>
      <w:r>
        <w:rPr>
          <w:rFonts w:ascii="Times New Roman" w:eastAsia="Times New Roman" w:hAnsi="Times New Roman" w:cs="Times New Roman"/>
          <w:color w:val="000000"/>
          <w:spacing w:val="0"/>
          <w:w w:val="100"/>
          <w:position w:val="0"/>
          <w:shd w:val="clear" w:color="auto" w:fill="auto"/>
          <w:lang w:val="en-US" w:eastAsia="en-US" w:bidi="en-US"/>
        </w:rPr>
        <w:t xml:space="preserve"> He also took an active interest in archaeology, and two volumes of his </w:t>
      </w:r>
      <w:r>
        <w:rPr>
          <w:rFonts w:ascii="Times New Roman" w:eastAsia="Times New Roman" w:hAnsi="Times New Roman" w:cs="Times New Roman"/>
          <w:i/>
          <w:iCs/>
          <w:color w:val="000000"/>
          <w:spacing w:val="0"/>
          <w:w w:val="100"/>
          <w:position w:val="0"/>
          <w:shd w:val="clear" w:color="auto" w:fill="auto"/>
          <w:lang w:val="en-US" w:eastAsia="en-US" w:bidi="en-US"/>
        </w:rPr>
        <w:t>Archaeological Essays,</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Dr J. Stuart, were published at Edinburgh in 1873. Simpson, who had been created a baronet in 1866, died in Edinburgh on the 6th of May 1870, and was accorded a public funeral; his statue in bronze now stands in West Princes Street Gardens, Edinburgh.</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John Duns,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Memoir of 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Simpson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(1873); E. B. Simpson,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Sir James Simpson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(1896) ;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Gordon,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Sir 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Simpson and Chloroform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(1897).</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SIMPSON, MATTHEW </w:t>
      </w:r>
      <w:r>
        <w:rPr>
          <w:rFonts w:ascii="Times New Roman" w:eastAsia="Times New Roman" w:hAnsi="Times New Roman" w:cs="Times New Roman"/>
          <w:color w:val="000000"/>
          <w:spacing w:val="0"/>
          <w:w w:val="100"/>
          <w:position w:val="0"/>
          <w:shd w:val="clear" w:color="auto" w:fill="auto"/>
          <w:lang w:val="en-US" w:eastAsia="en-US" w:bidi="en-US"/>
        </w:rPr>
        <w:t>(1811-1884), American bishop of the Methodist Episcopal Church, was born in Cadiz, Ohio, on the 21st of June 1811. He studied medicine in 1830-1833 and began to practise, and in 1833 was licensed as a preacher of the Methodist Episcopal Church. He was pastor of the Liberty Street Church of Pittsburg in 1835, and of a church at Williams</w:t>
        <w:softHyphen/>
        <w:t xml:space="preserve">port (how Monongahela) in 1836. In 1837 he was ordained elder and was appointed professor of natural science in Allegheny College, Meadville, in which Madison College had been merged in 1833; and in 1838 he was elected professor and immediately afterwards president of the newly established Indiana Asbury (now De Pauw) University, Greencastle, Indiana, to which he went in 1839; this position he held until 1848. He was editor of the </w:t>
      </w:r>
      <w:r>
        <w:rPr>
          <w:rFonts w:ascii="Times New Roman" w:eastAsia="Times New Roman" w:hAnsi="Times New Roman" w:cs="Times New Roman"/>
          <w:i/>
          <w:iCs/>
          <w:color w:val="000000"/>
          <w:spacing w:val="0"/>
          <w:w w:val="100"/>
          <w:position w:val="0"/>
          <w:shd w:val="clear" w:color="auto" w:fill="auto"/>
          <w:lang w:val="en-US" w:eastAsia="en-US" w:bidi="en-US"/>
        </w:rPr>
        <w:t>Western Christian Advocate,</w:t>
      </w:r>
      <w:r>
        <w:rPr>
          <w:rFonts w:ascii="Times New Roman" w:eastAsia="Times New Roman" w:hAnsi="Times New Roman" w:cs="Times New Roman"/>
          <w:color w:val="000000"/>
          <w:spacing w:val="0"/>
          <w:w w:val="100"/>
          <w:position w:val="0"/>
          <w:shd w:val="clear" w:color="auto" w:fill="auto"/>
          <w:lang w:val="en-US" w:eastAsia="en-US" w:bidi="en-US"/>
        </w:rPr>
        <w:t xml:space="preserve"> which he made a strong temperance and anti-slavery organ, from 1848 to 1852. He was elected a bishop in May 1852, and in 1857, with Dr McClintock, visited Great Britain as a delegate to the British Wesleyan Conference, and travelled in the Holy Land. He was an intimate and trusted friend of President Lincoln, who considered his advice of great value, and at whose grave in Springfield he spoke the last words. He addressed the Garfield Memorial Meeting at Exeter Hall, London, on the 24th of September 1881. He died on the 18th of June 1884 in Philadelphia.</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published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Hundred Years of Methodism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(1876) ;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Cyclopedia of Methodism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(1878);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Lectures on Preaching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(1879), delivered before the Theological Department of Yale College; and a volume of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Sermons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(1885) was edited by George R. Crooks, whose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of Bishop Matthew Simpson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(New York, 1890) should be consulted.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SIMPSON, THOMAS </w:t>
      </w:r>
      <w:r>
        <w:rPr>
          <w:rFonts w:ascii="Times New Roman" w:eastAsia="Times New Roman" w:hAnsi="Times New Roman" w:cs="Times New Roman"/>
          <w:color w:val="000000"/>
          <w:spacing w:val="0"/>
          <w:w w:val="100"/>
          <w:position w:val="0"/>
          <w:shd w:val="clear" w:color="auto" w:fill="auto"/>
          <w:lang w:val="en-US" w:eastAsia="en-US" w:bidi="en-US"/>
        </w:rPr>
        <w:t>(1710-1761), English mathematician, was born at Market Bosworth in Leicestershire on the 20th of August 1710. His father was a stuff weaver, and, intending to bring his son up to his own business, took little care of the boy’s education. Young Simpson was so eager for knowledge that he neglected his weaving, and in consequence of a quarrel was forced to leave his father’s house. He settled for a short time at Nuneaton at the house of a Mrs Swinfield, whom he afterwards married, where he met a pedlar who practised fortune</w:t>
        <w:softHyphen/>
        <w:t>telling. Simpson was induced to cast nativities himself, and soon became the oracle of the neighbourhood; but he became con</w:t>
        <w:softHyphen/>
        <w:t>vinced of the imposture of astrology, and he abandoned this calling. After a residence of two or three years at Derby, where be worked as a weaver during the day and taught pupils in the evenings, he went to London. The number of his pupils in</w:t>
        <w:softHyphen/>
        <w:t xml:space="preserve">creased; his abilities became more widely known; and he was enabled to publish by subscription his </w:t>
      </w:r>
      <w:r>
        <w:rPr>
          <w:rFonts w:ascii="Times New Roman" w:eastAsia="Times New Roman" w:hAnsi="Times New Roman" w:cs="Times New Roman"/>
          <w:i/>
          <w:iCs/>
          <w:color w:val="000000"/>
          <w:spacing w:val="0"/>
          <w:w w:val="100"/>
          <w:position w:val="0"/>
          <w:shd w:val="clear" w:color="auto" w:fill="auto"/>
          <w:lang w:val="en-US" w:eastAsia="en-US" w:bidi="en-US"/>
        </w:rPr>
        <w:t>Treatise of Fluxions</w:t>
      </w:r>
      <w:r>
        <w:rPr>
          <w:rFonts w:ascii="Times New Roman" w:eastAsia="Times New Roman" w:hAnsi="Times New Roman" w:cs="Times New Roman"/>
          <w:color w:val="000000"/>
          <w:spacing w:val="0"/>
          <w:w w:val="100"/>
          <w:position w:val="0"/>
          <w:shd w:val="clear" w:color="auto" w:fill="auto"/>
          <w:lang w:val="en-US" w:eastAsia="en-US" w:bidi="en-US"/>
        </w:rPr>
        <w:t xml:space="preserve"> in 1737. This treatise abounded with errors of the press, and contained several obscurities and defects incidental to the author’s want of experience and the disadvantages under which</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