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groves in the vicinity. The town, founded by the French, derives its name from the kubba (tomb) of a marabout named Sidi-bel-Abbes, near which a redoubt was constructed by General </w:t>
      </w:r>
      <w:r>
        <w:rPr>
          <w:rFonts w:ascii="Times New Roman" w:eastAsia="Times New Roman" w:hAnsi="Times New Roman" w:cs="Times New Roman"/>
          <w:color w:val="000000"/>
          <w:spacing w:val="0"/>
          <w:w w:val="100"/>
          <w:position w:val="0"/>
          <w:shd w:val="clear" w:color="auto" w:fill="auto"/>
          <w:lang w:val="fr-FR" w:eastAsia="fr-FR" w:bidi="fr-FR"/>
        </w:rPr>
        <w:t xml:space="preserve">Bedeau </w:t>
      </w:r>
      <w:r>
        <w:rPr>
          <w:rFonts w:ascii="Times New Roman" w:eastAsia="Times New Roman" w:hAnsi="Times New Roman" w:cs="Times New Roman"/>
          <w:color w:val="000000"/>
          <w:spacing w:val="0"/>
          <w:w w:val="100"/>
          <w:position w:val="0"/>
          <w:shd w:val="clear" w:color="auto" w:fill="auto"/>
          <w:lang w:val="en-US" w:eastAsia="en-US" w:bidi="en-US"/>
        </w:rPr>
        <w:t>in 1843. The site of the town, formerly a swamp, has been thoroughly drained. The surrounding country is healthy, fertile and populous.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SIDMOUTH, HENRY ADDINGTON, 1</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Viscount</w:t>
      </w:r>
      <w:r>
        <w:rPr>
          <w:rFonts w:ascii="Times New Roman" w:eastAsia="Times New Roman" w:hAnsi="Times New Roman" w:cs="Times New Roman"/>
          <w:color w:val="000000"/>
          <w:spacing w:val="0"/>
          <w:w w:val="100"/>
          <w:position w:val="0"/>
          <w:shd w:val="clear" w:color="auto" w:fill="auto"/>
          <w:lang w:val="en-US" w:eastAsia="en-US" w:bidi="en-US"/>
        </w:rPr>
        <w:t xml:space="preserve"> (1757- 1844), English statesman, son of Dr Anthony Addington, was born on the 30th of May 1757. Educated at Winchester College and Brasenose College, Oxford, he graduated in 1778, and took the chancellor’s prize for an English essay in 1779. Owing to his friendship with William Pitt he turned his attention to politics, and after his election as member of parliament for Devizes in 1784 gave a silent but steady support to the ministry of his friend. By close attention to his parliamentary duties, he obtained a wide knowledge of the rules and procedure of the House of Commons, and this fact together with his intimacy with Pitt, and his general popularity, secured his election as Speaker in June 1789. Like his predecessors, Addington con</w:t>
        <w:softHyphen/>
        <w:t>tinued to be a partisan after his acceptance of this office, took part at times in debate when the house was in committee; and on one occasion his partiality allowed Pitt to disregard the authority of the chair. He enjoyed the confidence of George III., and in the royal interest tried to induce Pitt to withdraw his proposal for a further instalment of relief to Roman Catholics. Rather than give way on this question Pitt resigned office early in 1801, when both he and the king urged Addington to form a government. Addington consented, and after some delay caused by the king’s illness, and by the reluctance of several of Pitt’s followers to serve under him, became first lord of the treasury and chancellor of the exchequer in March 1801. The new prime minister, who was specially acceptable to George, was loyally supported by Pitt; and his first important work, the conclusion of the treaty of Amiens in March 1802, made him popular in the country. Signs, however, were not wanting that the peace would soon be broken, and Pitt, dissatisfied with the ministry for ignoring the threatening attitude of Napoleon, and making no preparations for a renewal of the war, withdrew his support. Addington then took steps to strengthen the forces of the crown, and suggested to Pitt that he should join the cabinet and that both should serve under a new prime minister. This offer was declined, and a similar fate befell Addington’s subsequent proposal to serve under Pitt. When the struggle with France was renewed in May 1803, it became evident that as a war minister Addington was not a success; and when Pitt became openly hostile, the continued confidence of the king and of a majority in the House of Commons was not a sufficient counter</w:t>
        <w:softHyphen/>
        <w:t>poise to the ministry’s waning prestige. Although careful and industrious, Addington had no brilliant qualities, and his medi</w:t>
        <w:softHyphen/>
        <w:t>ocrity afforded opportunity for attack by his enemies. Owing to his father’s profession he was called in derision "the doctor,” and George Canning, who wrote satirical verses at his expense, referred to him on one occasion as "happy Britain’s guardian gander.” Without waiting for defeat in the House he resigned office in April 1804, and became the leader of the party known as the “ king’s friends.” Pitt, who now returned to office, was soon reconciled with his old friend; in January 1805 Addington was created Viscount Sidmouth, and became lord president of the council. He felt aggrieved, however, because his friends were not given a larger share of power, and when Pitt complained because some of them voted against the ministry, Sidmouth left the cabinet in July 1805. In February 1806 he became lord privy seal in the ministry of Fox and Grenville, but resigned early in 1807 when the government proposed to throw open commissions in the army and navy to Roman Catholics and Protestant dissenters; in 1812 he joined the cabinet of Spencer Perceval as lord president of the council, becoming home secretary when the ministry was reconstructed by the earl of Liverpool in the follow</w:t>
        <w:softHyphen/>
        <w:t xml:space="preserve">ing June. The ten years during which he held this office coincided with much misery and unrest among the labouring classes, and the government policy, for which he was mainly responsible, was one of severe repression. In 1817 the Habeas Corpus Act </w:t>
      </w:r>
      <w:r>
        <w:rPr>
          <w:rFonts w:ascii="Times New Roman" w:eastAsia="Times New Roman" w:hAnsi="Times New Roman" w:cs="Times New Roman"/>
          <w:color w:val="000000"/>
          <w:spacing w:val="0"/>
          <w:w w:val="100"/>
          <w:position w:val="0"/>
          <w:shd w:val="clear" w:color="auto" w:fill="auto"/>
          <w:lang w:val="en-US" w:eastAsia="en-US" w:bidi="en-US"/>
        </w:rPr>
        <w:t>was suspended, and Sidmouth issued a circular to the lords- lieutenant declaring that magistrates might apprehend and hold to bail persons accused on oath of seditious libels. For this step he was severely attacked in parliament, and was accused of fomenting rebellion by means of his spies. Although shaken by the acquittal of William Hone on a charge of libel the govern</w:t>
        <w:softHyphen/>
        <w:t>ment was supported by parliament; and after the "Manchester massacre ” in August 1819 the home secretary thanked the magistrates and soldiers for their share in quelling the riot. He was mainly responsible for the policy embodied in the “ Six Acts ” of 1819. In December 1821 Sidmouth resigned his office, but remained a member of the cabinet without official duties until 1824, when he resigned owing to his disapproval of the recognition of the independence of Buenos Aires. Subsequently he took very little part in public affairs; but true to his earlier principles he spoke against Catholic emancipation in April 1829, and voted against the Reform Bill in 1832. He died at his residence in Rich</w:t>
        <w:softHyphen/>
        <w:t>mond Park on the 15th of February 1844, and was buried at Mortlake. In 1781 he married Ursula Mary, daughter of Leonard Hammond of Cheam, Surrey, who died in 1811, leaving a son, William Leonard, who succeeded his father as Viscount Sidmouth, and four daughters. In 1823 he married secondly Marianne, daughter of William Scott, Baron Stowell (d. 1836), and widow of Thomas Townsend of Honington, Warwickshire. Sidmouth suffers by comparison with the great men of his age, but he was honest and courageous in his opinions, loyal to his friends, and devoted to church and state.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2nd Viscount Sidmouth (1794-1864) was a clergyman of the Church of England; he was succeeded as 3rd Viscount by his son, William Wells Addington (b. 1824).</w:t>
      </w:r>
    </w:p>
    <w:p>
      <w:pPr>
        <w:pStyle w:val="Style3"/>
        <w:keepNext w:val="0"/>
        <w:keepLines w:val="0"/>
        <w:widowControl w:val="0"/>
        <w:shd w:val="clear" w:color="auto" w:fill="auto"/>
        <w:tabs>
          <w:tab w:pos="3991"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Hon. G. Pellew,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of Sidmouth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1847); Lord John Russell,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and Times of C. J. Fox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1859-1866); Earl Stanhope,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of Pitt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1861-1862); Sir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 Lewis,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Essays on the Administrations of Great Britain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1864); Spencer Walpole,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England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1878-1886).</w:t>
        <w:tab/>
        <w:t>(A. W. 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SIDMOUTH, </w:t>
      </w:r>
      <w:r>
        <w:rPr>
          <w:rFonts w:ascii="Times New Roman" w:eastAsia="Times New Roman" w:hAnsi="Times New Roman" w:cs="Times New Roman"/>
          <w:color w:val="000000"/>
          <w:spacing w:val="0"/>
          <w:w w:val="100"/>
          <w:position w:val="0"/>
          <w:shd w:val="clear" w:color="auto" w:fill="auto"/>
          <w:lang w:val="en-US" w:eastAsia="en-US" w:bidi="en-US"/>
        </w:rPr>
        <w:t>a market town and watering-place in the Honiton parliamentary division of Devonshire, England, on the river Sid and the English Channel, 167</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m. W. by S. of London, by the London &amp; South-Western railway. Pop. of urban district (1901) 4201. Lying in a hollow, the town is shut in by hills which ter</w:t>
        <w:softHyphen/>
        <w:t>minate in the forelands of Salcombe and High Peak, two sheer cliffs of a deep red colour. The shore line curves away, beyond these, westward to the Start and eastward to Portland—both visible from Sidmouth beach. The restored church of St Nicholas, dating from the 13th century, though much altered in the 15th, contains a window given by Queen Victoria in 1866 in memory of her father, the duke of Kent, who lived at Woolbrook Glen, close by, and died there in 1820. An esplanade is built along the sea-wall, and the town possesses golf links and other recreation grounds. The bathing is good, the climate warm. Formerly of some importance, the harbour can no longer be entered by large vessels, and goods are transhipped into flat-bottomed lighters for conveyance ashore. Fishing is extensively carried on and cattle fairs are held. In the 13th century Sidmouth was a borough governed by a port-reeve. Tradition tells of an older town buried under the sea; and Roman coins and other remains have been washed up on the beach. Traces of an ancient camp exist on High Peak.</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SIDNEY (or </w:t>
      </w:r>
      <w:r>
        <w:rPr>
          <w:rFonts w:ascii="Times New Roman" w:eastAsia="Times New Roman" w:hAnsi="Times New Roman" w:cs="Times New Roman"/>
          <w:smallCaps/>
          <w:color w:val="000000"/>
          <w:spacing w:val="0"/>
          <w:w w:val="100"/>
          <w:position w:val="0"/>
          <w:shd w:val="clear" w:color="auto" w:fill="auto"/>
          <w:lang w:val="en-US" w:eastAsia="en-US" w:bidi="en-US"/>
        </w:rPr>
        <w:t>Sydney),</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ALGERNON </w:t>
      </w:r>
      <w:r>
        <w:rPr>
          <w:rFonts w:ascii="Times New Roman" w:eastAsia="Times New Roman" w:hAnsi="Times New Roman" w:cs="Times New Roman"/>
          <w:color w:val="000000"/>
          <w:spacing w:val="0"/>
          <w:w w:val="100"/>
          <w:position w:val="0"/>
          <w:shd w:val="clear" w:color="auto" w:fill="auto"/>
          <w:lang w:val="en-US" w:eastAsia="en-US" w:bidi="en-US"/>
        </w:rPr>
        <w:t>(1622-1683), English politician, second son of Robert, 2nd earl of Leicester, and of Dorothy Percy, daughter of Henry, 9th earl of Northumberland, was born at Penshurst, Kent, in 1622. As a boy he showed much talent, which was carefully trained under his father’s eye. In 1632 with his elder brother Philip he accompanied his father on his mission as ambassador extraordinary to Christian IV. of Denmark, whom he saw at Rendsburg. In May 1636 Sidney went with his father to Paris, where he became a general favourite, and from there to Rome. In October 1641 he was given a troop in his father’s regiment in Ireland, of which his brother, known as Lord Lisle, was in command. In August 1643 the brothers returned to England. At Chester their horses were taken by the Royalists, whereupon they again put out to sea and landed at Liverpool. Here they were detained by the Parliamentary</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