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Umbria—the “ Madonna and Child,” with the “ Massacre of the Innocents” and other episodes. In 1508 Pope Julius II. determined to readorn the camere of the Vatican, and he sum</w:t>
        <w:softHyphen/>
        <w:t xml:space="preserve">moned to Rome Signorelli, in company with Perugino, Pinturic- chio and Bazzi (Sodoma). They began operations, but were shortly all superseded to make way for Raphael, and their work was taken down. Luca now returned to Siena, living afterwards for the most part in Cortona. He continued constantly at work, but the performances of his closing years were not of special mark. In 1520 he went with one of his pictures to Arezzo. Here he saw Giorgio Vasari, aged eight, and encouraged his father to second the boy’s bent for art. Vasari tells a pretty story how the wellnigh octogenarian master said to him “ </w:t>
      </w:r>
      <w:r>
        <w:rPr>
          <w:rFonts w:ascii="Times New Roman" w:eastAsia="Times New Roman" w:hAnsi="Times New Roman" w:cs="Times New Roman"/>
          <w:color w:val="000000"/>
          <w:spacing w:val="0"/>
          <w:w w:val="100"/>
          <w:position w:val="0"/>
          <w:shd w:val="clear" w:color="auto" w:fill="auto"/>
          <w:lang w:val="fr-FR" w:eastAsia="fr-FR" w:bidi="fr-FR"/>
        </w:rPr>
        <w:t xml:space="preserve">Impara, </w:t>
      </w:r>
      <w:r>
        <w:rPr>
          <w:rFonts w:ascii="Times New Roman" w:eastAsia="Times New Roman" w:hAnsi="Times New Roman" w:cs="Times New Roman"/>
          <w:color w:val="000000"/>
          <w:spacing w:val="0"/>
          <w:w w:val="100"/>
          <w:position w:val="0"/>
          <w:shd w:val="clear" w:color="auto" w:fill="auto"/>
          <w:lang w:val="en-US" w:eastAsia="en-US" w:bidi="en-US"/>
        </w:rPr>
        <w:t>parentino ” ("You must study, my little kinsman ”), and clasped a jasper round his neck as a preservative against nose-bleeding, to which the child was subject. He was partially paralytic when he began a fresco of the "Baptism of Christ ” in the chapel of Cardinal Passerini’s palace near Cortona, which (or else a "Coronation of the Virgin ” at Foiano) is the last picture of his specified. Signorelli stood in great repute not only as a painter but also as a citizen. He entered the magistracy of Cortona as early as 1488, and in 1524 held a leading position among the magistrates of his native place. In or about the year 1524 he died there.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Signorelli from an early age paid great attention to anatomy, carrying on his studies in burial grounds. He surpassed all his con</w:t>
        <w:softHyphen/>
        <w:t>temporaries in showing the structure and mechanism of the nude in immediate action; and he even went beyond nature in experi</w:t>
        <w:softHyphen/>
        <w:t>ments of this kind, trying hypothetical attitudes and combinations. His drawings in the Louvre demonstrate this and bear a close analogy to the method of Michelangelo. He aimed at powerful truth rather than nobility of form ; colour was comparatively neglected, and his chiaroscuro exhibits sharp oppositions of lights and shadows. He had a vast influence over the painters of his own and of succeeding times, but had no pupils or assistants of high mark; one of them was a nephew named Francesco. He was a married man with a family; one of his sons died, seemingly through some sudden casualty, and Luca depicted the corpse with sorrow</w:t>
        <w:softHyphen/>
        <w:t>ful but steady self-possession. He is described as full of kindliness and amiability, sincere, courteous, easy with his art assistants, of fine manners, living and dressing well; indeed, according to Vasari, he always lived more like a nobleman than a painter. The Torri- giani Gallery in Florence contains a grand life-sized portrait by Signo</w:t>
        <w:softHyphen/>
        <w:t>relli of a man in a red cap and vest; this is said to be the likeness of the painter himself, and corresponds with Vasari’s observation. In the National Gallery, London, are the “ Circumcision of Jesus ” and three other works.</w:t>
      </w:r>
    </w:p>
    <w:p>
      <w:pPr>
        <w:pStyle w:val="Style3"/>
        <w:keepNext w:val="0"/>
        <w:keepLines w:val="0"/>
        <w:widowControl w:val="0"/>
        <w:shd w:val="clear" w:color="auto" w:fill="auto"/>
        <w:tabs>
          <w:tab w:pos="4030"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R. Vischer,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Signorelli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italienische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Renaissance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(1879); Burlington Fine Arts Club,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Exhibition of Work of Signorelli, &amp;c.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(1893); Μ. Crutwell,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Luca Signorelli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w:t>
        <w:tab/>
        <w:t>(W. Μ. 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SIGONIUS, CAROLUS </w:t>
      </w:r>
      <w:r>
        <w:rPr>
          <w:rFonts w:ascii="Times New Roman" w:eastAsia="Times New Roman" w:hAnsi="Times New Roman" w:cs="Times New Roman"/>
          <w:smallCaps/>
          <w:color w:val="000000"/>
          <w:spacing w:val="0"/>
          <w:w w:val="100"/>
          <w:position w:val="0"/>
          <w:shd w:val="clear" w:color="auto" w:fill="auto"/>
          <w:lang w:val="en-US" w:eastAsia="en-US" w:bidi="en-US"/>
        </w:rPr>
        <w:t>[Carlo Sigonio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Sigone] (c.</w:t>
      </w:r>
      <w:r>
        <w:rPr>
          <w:rFonts w:ascii="Times New Roman" w:eastAsia="Times New Roman" w:hAnsi="Times New Roman" w:cs="Times New Roman"/>
          <w:color w:val="000000"/>
          <w:spacing w:val="0"/>
          <w:w w:val="100"/>
          <w:position w:val="0"/>
          <w:shd w:val="clear" w:color="auto" w:fill="auto"/>
          <w:lang w:val="en-US" w:eastAsia="en-US" w:bidi="en-US"/>
        </w:rPr>
        <w:t xml:space="preserve"> 1524- 1584), Italian humanist, was born at Modena. Having studied Greek under the learned Franciscus Portus of Candia, he attended the philosophical schools of Bologna and Pavia, and in 1545 was elected professor of Greek in his native place in succession to Portus. In 1552 he was appointed to a professorship at Venice, which he exchanged for the chair of eloquence at Padua in 1560. To this period of his life belongs the famous quarrel with Rober- telli, due to the publication by Sigonius of a treatise </w:t>
      </w:r>
      <w:r>
        <w:rPr>
          <w:rFonts w:ascii="Times New Roman" w:eastAsia="Times New Roman" w:hAnsi="Times New Roman" w:cs="Times New Roman"/>
          <w:i/>
          <w:iCs/>
          <w:color w:val="000000"/>
          <w:spacing w:val="0"/>
          <w:w w:val="100"/>
          <w:position w:val="0"/>
          <w:shd w:val="clear" w:color="auto" w:fill="auto"/>
          <w:lang w:val="en-US" w:eastAsia="en-US" w:bidi="en-US"/>
        </w:rPr>
        <w:t>De nominibus Romanorum,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corrected several errors in a work of Robertelli on the same subject. The quarrel was patched up by the intervention of Cardinal Seripando (who purposely stopped on his way to the Council of Trent), but broke out again in 1562, when the two rivals found themselves colleagues at Padua. Sigonius, who was of a peaceful disposition, thereupon accepted (in 1563) a call to Bologna. He died in a country house purchased by him in the neighbourhood of Modena, in August 1584. The last year of his life was embittered by another literary dispute. In 1583 there was published at Venice what purported to be Cicero’s </w:t>
      </w:r>
      <w:r>
        <w:rPr>
          <w:rFonts w:ascii="Times New Roman" w:eastAsia="Times New Roman" w:hAnsi="Times New Roman" w:cs="Times New Roman"/>
          <w:i/>
          <w:iCs/>
          <w:color w:val="000000"/>
          <w:spacing w:val="0"/>
          <w:w w:val="100"/>
          <w:position w:val="0"/>
          <w:shd w:val="clear" w:color="auto" w:fill="auto"/>
          <w:lang w:val="en-US" w:eastAsia="en-US" w:bidi="en-US"/>
        </w:rPr>
        <w:t>Consolatio,</w:t>
      </w:r>
      <w:r>
        <w:rPr>
          <w:rFonts w:ascii="Times New Roman" w:eastAsia="Times New Roman" w:hAnsi="Times New Roman" w:cs="Times New Roman"/>
          <w:color w:val="000000"/>
          <w:spacing w:val="0"/>
          <w:w w:val="100"/>
          <w:position w:val="0"/>
          <w:shd w:val="clear" w:color="auto" w:fill="auto"/>
          <w:lang w:val="en-US" w:eastAsia="en-US" w:bidi="en-US"/>
        </w:rPr>
        <w:t xml:space="preserve"> written as a distraction from his grief at the death of his daughter Tullia. Sigonius declared that, if not genuine, it was at least worthy of Cicero; those who held the opposite view (Antonio Riccoboni, Justus Lipsius, and others) asserted that Sigonius himself had written it with the object of deceiving the learned world, a charge which he explicitly denied. The work is now universally regarded as a forgery, whoever may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the author of it. Sigonius’s reputation chiefly rests upon his publications on Greek and Roman antiquities, which may even now be consulted with advantage: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Fasti consulares </w:t>
      </w:r>
      <w:r>
        <w:rPr>
          <w:rFonts w:ascii="Times New Roman" w:eastAsia="Times New Roman" w:hAnsi="Times New Roman" w:cs="Times New Roman"/>
          <w:color w:val="000000"/>
          <w:spacing w:val="0"/>
          <w:w w:val="100"/>
          <w:position w:val="0"/>
          <w:shd w:val="clear" w:color="auto" w:fill="auto"/>
          <w:lang w:val="en-US" w:eastAsia="en-US" w:bidi="en-US"/>
        </w:rPr>
        <w:t xml:space="preserve">(1550; new ed., Oxford, 1802), with commentary, from the regal period to Tiberius, the first work in which the history of Rome was set forth in chronological order, based upon some fragments of old bronze tablets dug up in 1547 on the site of the old Forum; an edition of Livy with the Scholia; </w:t>
      </w:r>
      <w:r>
        <w:rPr>
          <w:rFonts w:ascii="Times New Roman" w:eastAsia="Times New Roman" w:hAnsi="Times New Roman" w:cs="Times New Roman"/>
          <w:i/>
          <w:iCs/>
          <w:color w:val="000000"/>
          <w:spacing w:val="0"/>
          <w:w w:val="100"/>
          <w:position w:val="0"/>
          <w:shd w:val="clear" w:color="auto" w:fill="auto"/>
          <w:lang w:val="en-US" w:eastAsia="en-US" w:bidi="en-US"/>
        </w:rPr>
        <w:t>De antiquo jure Roma- norum, Italiae, provinciarum</w:t>
      </w:r>
      <w:r>
        <w:rPr>
          <w:rFonts w:ascii="Times New Roman" w:eastAsia="Times New Roman" w:hAnsi="Times New Roman" w:cs="Times New Roman"/>
          <w:color w:val="000000"/>
          <w:spacing w:val="0"/>
          <w:w w:val="100"/>
          <w:position w:val="0"/>
          <w:shd w:val="clear" w:color="auto" w:fill="auto"/>
          <w:lang w:val="en-US" w:eastAsia="en-US" w:bidi="en-US"/>
        </w:rPr>
        <w:t xml:space="preserve"> (1560) and </w:t>
      </w:r>
      <w:r>
        <w:rPr>
          <w:rFonts w:ascii="Times New Roman" w:eastAsia="Times New Roman" w:hAnsi="Times New Roman" w:cs="Times New Roman"/>
          <w:i/>
          <w:iCs/>
          <w:color w:val="000000"/>
          <w:spacing w:val="0"/>
          <w:w w:val="100"/>
          <w:position w:val="0"/>
          <w:shd w:val="clear" w:color="auto" w:fill="auto"/>
          <w:lang w:val="en-US" w:eastAsia="en-US" w:bidi="en-US"/>
        </w:rPr>
        <w:t>De Romanae juris- prudentiae judiciis</w:t>
      </w:r>
      <w:r>
        <w:rPr>
          <w:rFonts w:ascii="Times New Roman" w:eastAsia="Times New Roman" w:hAnsi="Times New Roman" w:cs="Times New Roman"/>
          <w:color w:val="000000"/>
          <w:spacing w:val="0"/>
          <w:w w:val="100"/>
          <w:position w:val="0"/>
          <w:shd w:val="clear" w:color="auto" w:fill="auto"/>
          <w:lang w:val="en-US" w:eastAsia="en-US" w:bidi="en-US"/>
        </w:rPr>
        <w:t xml:space="preserve"> (1574); </w:t>
      </w:r>
      <w:r>
        <w:rPr>
          <w:rFonts w:ascii="Times New Roman" w:eastAsia="Times New Roman" w:hAnsi="Times New Roman" w:cs="Times New Roman"/>
          <w:i/>
          <w:iCs/>
          <w:color w:val="000000"/>
          <w:spacing w:val="0"/>
          <w:w w:val="100"/>
          <w:position w:val="0"/>
          <w:shd w:val="clear" w:color="auto" w:fill="auto"/>
          <w:lang w:val="en-US" w:eastAsia="en-US" w:bidi="en-US"/>
        </w:rPr>
        <w:t>De republica Atheniensium</w:t>
      </w:r>
      <w:r>
        <w:rPr>
          <w:rFonts w:ascii="Times New Roman" w:eastAsia="Times New Roman" w:hAnsi="Times New Roman" w:cs="Times New Roman"/>
          <w:color w:val="000000"/>
          <w:spacing w:val="0"/>
          <w:w w:val="100"/>
          <w:position w:val="0"/>
          <w:shd w:val="clear" w:color="auto" w:fill="auto"/>
          <w:lang w:val="en-US" w:eastAsia="en-US" w:bidi="en-US"/>
        </w:rPr>
        <w:t xml:space="preserve"> (1564) and </w:t>
      </w:r>
      <w:r>
        <w:rPr>
          <w:rFonts w:ascii="Times New Roman" w:eastAsia="Times New Roman" w:hAnsi="Times New Roman" w:cs="Times New Roman"/>
          <w:i/>
          <w:iCs/>
          <w:color w:val="000000"/>
          <w:spacing w:val="0"/>
          <w:w w:val="100"/>
          <w:position w:val="0"/>
          <w:shd w:val="clear" w:color="auto" w:fill="auto"/>
          <w:lang w:val="en-US" w:eastAsia="en-US" w:bidi="en-US"/>
        </w:rPr>
        <w:t>De Atheniensium et Lacedaemoniorum temporibus</w:t>
      </w:r>
      <w:r>
        <w:rPr>
          <w:rFonts w:ascii="Times New Roman" w:eastAsia="Times New Roman" w:hAnsi="Times New Roman" w:cs="Times New Roman"/>
          <w:color w:val="000000"/>
          <w:spacing w:val="0"/>
          <w:w w:val="100"/>
          <w:position w:val="0"/>
          <w:shd w:val="clear" w:color="auto" w:fill="auto"/>
          <w:lang w:val="en-US" w:eastAsia="en-US" w:bidi="en-US"/>
        </w:rPr>
        <w:t xml:space="preserve"> (1565), the first well-arranged account of the constitution, history, and chronology of Athens and Sparta, with which may be mentioned a similar work on the religious, political, and military system of the Jews (</w:t>
      </w:r>
      <w:r>
        <w:rPr>
          <w:rFonts w:ascii="Times New Roman" w:eastAsia="Times New Roman" w:hAnsi="Times New Roman" w:cs="Times New Roman"/>
          <w:i/>
          <w:iCs/>
          <w:color w:val="000000"/>
          <w:spacing w:val="0"/>
          <w:w w:val="100"/>
          <w:position w:val="0"/>
          <w:shd w:val="clear" w:color="auto" w:fill="auto"/>
          <w:lang w:val="en-US" w:eastAsia="en-US" w:bidi="en-US"/>
        </w:rPr>
        <w:t>De republica Ebraeorum).</w:t>
      </w:r>
      <w:r>
        <w:rPr>
          <w:rFonts w:ascii="Times New Roman" w:eastAsia="Times New Roman" w:hAnsi="Times New Roman" w:cs="Times New Roman"/>
          <w:color w:val="000000"/>
          <w:spacing w:val="0"/>
          <w:w w:val="100"/>
          <w:position w:val="0"/>
          <w:shd w:val="clear" w:color="auto" w:fill="auto"/>
          <w:lang w:val="en-US" w:eastAsia="en-US" w:bidi="en-US"/>
        </w:rPr>
        <w:t xml:space="preserve"> His history of the kingdom of Italy </w:t>
      </w:r>
      <w:r>
        <w:rPr>
          <w:rFonts w:ascii="Times New Roman" w:eastAsia="Times New Roman" w:hAnsi="Times New Roman" w:cs="Times New Roman"/>
          <w:i/>
          <w:iCs/>
          <w:color w:val="000000"/>
          <w:spacing w:val="0"/>
          <w:w w:val="100"/>
          <w:position w:val="0"/>
          <w:shd w:val="clear" w:color="auto" w:fill="auto"/>
          <w:lang w:val="en-US" w:eastAsia="en-US" w:bidi="en-US"/>
        </w:rPr>
        <w:t>(De regno Italiae,</w:t>
      </w:r>
      <w:r>
        <w:rPr>
          <w:rFonts w:ascii="Times New Roman" w:eastAsia="Times New Roman" w:hAnsi="Times New Roman" w:cs="Times New Roman"/>
          <w:color w:val="000000"/>
          <w:spacing w:val="0"/>
          <w:w w:val="100"/>
          <w:position w:val="0"/>
          <w:shd w:val="clear" w:color="auto" w:fill="auto"/>
          <w:lang w:val="en-US" w:eastAsia="en-US" w:bidi="en-US"/>
        </w:rPr>
        <w:t xml:space="preserve"> 1580) from the invasion of the Lombards (568) to the end of the 13th century forms a companion volume to the history of the western empire </w:t>
      </w:r>
      <w:r>
        <w:rPr>
          <w:rFonts w:ascii="Times New Roman" w:eastAsia="Times New Roman" w:hAnsi="Times New Roman" w:cs="Times New Roman"/>
          <w:i/>
          <w:iCs/>
          <w:color w:val="000000"/>
          <w:spacing w:val="0"/>
          <w:w w:val="100"/>
          <w:position w:val="0"/>
          <w:shd w:val="clear" w:color="auto" w:fill="auto"/>
          <w:lang w:val="en-US" w:eastAsia="en-US" w:bidi="en-US"/>
        </w:rPr>
        <w:t>(De occidentali imperio,</w:t>
      </w:r>
      <w:r>
        <w:rPr>
          <w:rFonts w:ascii="Times New Roman" w:eastAsia="Times New Roman" w:hAnsi="Times New Roman" w:cs="Times New Roman"/>
          <w:color w:val="000000"/>
          <w:spacing w:val="0"/>
          <w:w w:val="100"/>
          <w:position w:val="0"/>
          <w:shd w:val="clear" w:color="auto" w:fill="auto"/>
          <w:lang w:val="en-US" w:eastAsia="en-US" w:bidi="en-US"/>
        </w:rPr>
        <w:t xml:space="preserve"> 1579) from Diocletian to its destruction. In order to obtain material for these works, Sigonius consulted all the archives and family chronicles of Italy, and the public and private libraries, and the autograph MS. of his </w:t>
      </w:r>
      <w:r>
        <w:rPr>
          <w:rFonts w:ascii="Times New Roman" w:eastAsia="Times New Roman" w:hAnsi="Times New Roman" w:cs="Times New Roman"/>
          <w:i/>
          <w:iCs/>
          <w:color w:val="000000"/>
          <w:spacing w:val="0"/>
          <w:w w:val="100"/>
          <w:position w:val="0"/>
          <w:shd w:val="clear" w:color="auto" w:fill="auto"/>
          <w:lang w:val="en-US" w:eastAsia="en-US" w:bidi="en-US"/>
        </w:rPr>
        <w:t>De regno Italiae,</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all the preliminary studies and many docu</w:t>
        <w:softHyphen/>
        <w:t>ments not used in print, was discovered in the Ambrosian library of Milan. At the request of Gregory XIII. he undertook to write the history of the Christian Church, but did not live to complete the work.</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most complete edition of his works is that by P. Argelati (Milan, 1732-1737), which contains his life by L. A. Muratori, the only trustworthy authority for the biographer; see also G. Tira- boschi,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Storia delta letteratura italiana, vii.;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Ginguené,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littéraire d’Italie·, </w:t>
      </w:r>
      <w:r>
        <w:rPr>
          <w:rFonts w:ascii="Times New Roman" w:eastAsia="Times New Roman" w:hAnsi="Times New Roman" w:cs="Times New Roman"/>
          <w:color w:val="000000"/>
          <w:spacing w:val="0"/>
          <w:w w:val="100"/>
          <w:position w:val="0"/>
          <w:sz w:val="19"/>
          <w:szCs w:val="19"/>
          <w:shd w:val="clear" w:color="auto" w:fill="auto"/>
          <w:lang w:val="fr-FR" w:eastAsia="fr-FR" w:bidi="fr-FR"/>
        </w:rPr>
        <w:t>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Krebs,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Carl Sigonius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(1840), including some Latin letters of Sigonius and a complete list of his works in chrono</w:t>
        <w:softHyphen/>
        <w:t xml:space="preserve">logical order; Franciosi,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Della vita 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delle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opere di Carlo Sigonio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(Modena, 1872);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Hessel,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regno Italiae libri XX. von Carlo Sigonio,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eine quellenkritische Untersuchung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and J.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Classical Scholarship,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(1908), p. 143.</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SIGOURNEY, LYDIA HUNTLEY </w:t>
      </w:r>
      <w:r>
        <w:rPr>
          <w:rFonts w:ascii="Times New Roman" w:eastAsia="Times New Roman" w:hAnsi="Times New Roman" w:cs="Times New Roman"/>
          <w:color w:val="000000"/>
          <w:spacing w:val="0"/>
          <w:w w:val="100"/>
          <w:position w:val="0"/>
          <w:shd w:val="clear" w:color="auto" w:fill="auto"/>
          <w:lang w:val="en-US" w:eastAsia="en-US" w:bidi="en-US"/>
        </w:rPr>
        <w:t xml:space="preserve">(1791-1865), American author, was born in Norwich, Connecticut, on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 xml:space="preserve">of September 1791. She was educated in Norwich and Hartford. After conducting a private school for young ladies in Norwich, she conducted a similar school in Hartford from 1814 until 1819, when she was married to Charles Sigourney, a Hartford merchant. She contributed more than two thousand articles to many (nearly 300) periodicals, and wrote more than fifty books. She died in Hartford, on the 10th of June 1865. Her books include </w:t>
      </w:r>
      <w:r>
        <w:rPr>
          <w:rFonts w:ascii="Times New Roman" w:eastAsia="Times New Roman" w:hAnsi="Times New Roman" w:cs="Times New Roman"/>
          <w:i/>
          <w:iCs/>
          <w:color w:val="000000"/>
          <w:spacing w:val="0"/>
          <w:w w:val="100"/>
          <w:position w:val="0"/>
          <w:shd w:val="clear" w:color="auto" w:fill="auto"/>
          <w:lang w:val="en-US" w:eastAsia="en-US" w:bidi="en-US"/>
        </w:rPr>
        <w:t>Moral Pieces in Prose and Verse</w:t>
      </w:r>
      <w:r>
        <w:rPr>
          <w:rFonts w:ascii="Times New Roman" w:eastAsia="Times New Roman" w:hAnsi="Times New Roman" w:cs="Times New Roman"/>
          <w:color w:val="000000"/>
          <w:spacing w:val="0"/>
          <w:w w:val="100"/>
          <w:position w:val="0"/>
          <w:shd w:val="clear" w:color="auto" w:fill="auto"/>
          <w:lang w:val="en-US" w:eastAsia="en-US" w:bidi="en-US"/>
        </w:rPr>
        <w:t xml:space="preserve"> (1815); </w:t>
      </w:r>
      <w:r>
        <w:rPr>
          <w:rFonts w:ascii="Times New Roman" w:eastAsia="Times New Roman" w:hAnsi="Times New Roman" w:cs="Times New Roman"/>
          <w:i/>
          <w:iCs/>
          <w:color w:val="000000"/>
          <w:spacing w:val="0"/>
          <w:w w:val="100"/>
          <w:position w:val="0"/>
          <w:shd w:val="clear" w:color="auto" w:fill="auto"/>
          <w:lang w:val="en-US" w:eastAsia="en-US" w:bidi="en-US"/>
        </w:rPr>
        <w:t>Traits of the Aborigines of America</w:t>
      </w:r>
      <w:r>
        <w:rPr>
          <w:rFonts w:ascii="Times New Roman" w:eastAsia="Times New Roman" w:hAnsi="Times New Roman" w:cs="Times New Roman"/>
          <w:color w:val="000000"/>
          <w:spacing w:val="0"/>
          <w:w w:val="100"/>
          <w:position w:val="0"/>
          <w:shd w:val="clear" w:color="auto" w:fill="auto"/>
          <w:lang w:val="en-US" w:eastAsia="en-US" w:bidi="en-US"/>
        </w:rPr>
        <w:t xml:space="preserve"> (1822), a poem; </w:t>
      </w:r>
      <w:r>
        <w:rPr>
          <w:rFonts w:ascii="Times New Roman" w:eastAsia="Times New Roman" w:hAnsi="Times New Roman" w:cs="Times New Roman"/>
          <w:i/>
          <w:iCs/>
          <w:color w:val="000000"/>
          <w:spacing w:val="0"/>
          <w:w w:val="100"/>
          <w:position w:val="0"/>
          <w:shd w:val="clear" w:color="auto" w:fill="auto"/>
          <w:lang w:val="en-US" w:eastAsia="en-US" w:bidi="en-US"/>
        </w:rPr>
        <w:t>A Sketch of Connecticut Forty Years Since</w:t>
      </w:r>
      <w:r>
        <w:rPr>
          <w:rFonts w:ascii="Times New Roman" w:eastAsia="Times New Roman" w:hAnsi="Times New Roman" w:cs="Times New Roman"/>
          <w:color w:val="000000"/>
          <w:spacing w:val="0"/>
          <w:w w:val="100"/>
          <w:position w:val="0"/>
          <w:shd w:val="clear" w:color="auto" w:fill="auto"/>
          <w:lang w:val="en-US" w:eastAsia="en-US" w:bidi="en-US"/>
        </w:rPr>
        <w:t xml:space="preserve"> (1824);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(1827); </w:t>
      </w:r>
      <w:r>
        <w:rPr>
          <w:rFonts w:ascii="Times New Roman" w:eastAsia="Times New Roman" w:hAnsi="Times New Roman" w:cs="Times New Roman"/>
          <w:i/>
          <w:iCs/>
          <w:color w:val="000000"/>
          <w:spacing w:val="0"/>
          <w:w w:val="100"/>
          <w:position w:val="0"/>
          <w:shd w:val="clear" w:color="auto" w:fill="auto"/>
          <w:lang w:val="en-US" w:eastAsia="en-US" w:bidi="en-US"/>
        </w:rPr>
        <w:t>Letters to Young Ladies</w:t>
      </w:r>
      <w:r>
        <w:rPr>
          <w:rFonts w:ascii="Times New Roman" w:eastAsia="Times New Roman" w:hAnsi="Times New Roman" w:cs="Times New Roman"/>
          <w:color w:val="000000"/>
          <w:spacing w:val="0"/>
          <w:w w:val="100"/>
          <w:position w:val="0"/>
          <w:shd w:val="clear" w:color="auto" w:fill="auto"/>
          <w:lang w:val="en-US" w:eastAsia="en-US" w:bidi="en-US"/>
        </w:rPr>
        <w:t xml:space="preserve"> (1833), one of her best-known books; </w:t>
      </w:r>
      <w:r>
        <w:rPr>
          <w:rFonts w:ascii="Times New Roman" w:eastAsia="Times New Roman" w:hAnsi="Times New Roman" w:cs="Times New Roman"/>
          <w:i/>
          <w:iCs/>
          <w:color w:val="000000"/>
          <w:spacing w:val="0"/>
          <w:w w:val="100"/>
          <w:position w:val="0"/>
          <w:shd w:val="clear" w:color="auto" w:fill="auto"/>
          <w:lang w:val="en-US" w:eastAsia="en-US" w:bidi="en-US"/>
        </w:rPr>
        <w:t>Sketches</w:t>
      </w:r>
      <w:r>
        <w:rPr>
          <w:rFonts w:ascii="Times New Roman" w:eastAsia="Times New Roman" w:hAnsi="Times New Roman" w:cs="Times New Roman"/>
          <w:color w:val="000000"/>
          <w:spacing w:val="0"/>
          <w:w w:val="100"/>
          <w:position w:val="0"/>
          <w:shd w:val="clear" w:color="auto" w:fill="auto"/>
          <w:lang w:val="en-US" w:eastAsia="en-US" w:bidi="en-US"/>
        </w:rPr>
        <w:t xml:space="preserve"> (1834); </w:t>
      </w:r>
      <w:r>
        <w:rPr>
          <w:rFonts w:ascii="Times New Roman" w:eastAsia="Times New Roman" w:hAnsi="Times New Roman" w:cs="Times New Roman"/>
          <w:i/>
          <w:iCs/>
          <w:color w:val="000000"/>
          <w:spacing w:val="0"/>
          <w:w w:val="100"/>
          <w:position w:val="0"/>
          <w:shd w:val="clear" w:color="auto" w:fill="auto"/>
          <w:lang w:val="en-US" w:eastAsia="en-US" w:bidi="en-US"/>
        </w:rPr>
        <w:t>Poetry for Children</w:t>
      </w:r>
      <w:r>
        <w:rPr>
          <w:rFonts w:ascii="Times New Roman" w:eastAsia="Times New Roman" w:hAnsi="Times New Roman" w:cs="Times New Roman"/>
          <w:color w:val="000000"/>
          <w:spacing w:val="0"/>
          <w:w w:val="100"/>
          <w:position w:val="0"/>
          <w:shd w:val="clear" w:color="auto" w:fill="auto"/>
          <w:lang w:val="en-US" w:eastAsia="en-US" w:bidi="en-US"/>
        </w:rPr>
        <w:t xml:space="preserve"> (1834); </w:t>
      </w:r>
      <w:r>
        <w:rPr>
          <w:rFonts w:ascii="Times New Roman" w:eastAsia="Times New Roman" w:hAnsi="Times New Roman" w:cs="Times New Roman"/>
          <w:i/>
          <w:iCs/>
          <w:color w:val="000000"/>
          <w:spacing w:val="0"/>
          <w:w w:val="100"/>
          <w:position w:val="0"/>
          <w:shd w:val="clear" w:color="auto" w:fill="auto"/>
          <w:lang w:val="en-US" w:eastAsia="en-US" w:bidi="en-US"/>
        </w:rPr>
        <w:t>Zinzendorf,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(1835); </w:t>
      </w:r>
      <w:r>
        <w:rPr>
          <w:rFonts w:ascii="Times New Roman" w:eastAsia="Times New Roman" w:hAnsi="Times New Roman" w:cs="Times New Roman"/>
          <w:i/>
          <w:iCs/>
          <w:color w:val="000000"/>
          <w:spacing w:val="0"/>
          <w:w w:val="100"/>
          <w:position w:val="0"/>
          <w:shd w:val="clear" w:color="auto" w:fill="auto"/>
          <w:lang w:val="en-US" w:eastAsia="en-US" w:bidi="en-US"/>
        </w:rPr>
        <w:t>Olive Buds</w:t>
      </w:r>
      <w:r>
        <w:rPr>
          <w:rFonts w:ascii="Times New Roman" w:eastAsia="Times New Roman" w:hAnsi="Times New Roman" w:cs="Times New Roman"/>
          <w:color w:val="000000"/>
          <w:spacing w:val="0"/>
          <w:w w:val="100"/>
          <w:position w:val="0"/>
          <w:shd w:val="clear" w:color="auto" w:fill="auto"/>
          <w:lang w:val="en-US" w:eastAsia="en-US" w:bidi="en-US"/>
        </w:rPr>
        <w:t xml:space="preserve"> (1836); </w:t>
      </w:r>
      <w:r>
        <w:rPr>
          <w:rFonts w:ascii="Times New Roman" w:eastAsia="Times New Roman" w:hAnsi="Times New Roman" w:cs="Times New Roman"/>
          <w:i/>
          <w:iCs/>
          <w:color w:val="000000"/>
          <w:spacing w:val="0"/>
          <w:w w:val="100"/>
          <w:position w:val="0"/>
          <w:shd w:val="clear" w:color="auto" w:fill="auto"/>
          <w:lang w:val="en-US" w:eastAsia="en-US" w:bidi="en-US"/>
        </w:rPr>
        <w:t>Letters to Mothers</w:t>
      </w:r>
      <w:r>
        <w:rPr>
          <w:rFonts w:ascii="Times New Roman" w:eastAsia="Times New Roman" w:hAnsi="Times New Roman" w:cs="Times New Roman"/>
          <w:color w:val="000000"/>
          <w:spacing w:val="0"/>
          <w:w w:val="100"/>
          <w:position w:val="0"/>
          <w:shd w:val="clear" w:color="auto" w:fill="auto"/>
          <w:lang w:val="en-US" w:eastAsia="en-US" w:bidi="en-US"/>
        </w:rPr>
        <w:t xml:space="preserve"> (1838), republished in London; </w:t>
      </w:r>
      <w:r>
        <w:rPr>
          <w:rFonts w:ascii="Times New Roman" w:eastAsia="Times New Roman" w:hAnsi="Times New Roman" w:cs="Times New Roman"/>
          <w:i/>
          <w:iCs/>
          <w:color w:val="000000"/>
          <w:spacing w:val="0"/>
          <w:w w:val="100"/>
          <w:position w:val="0"/>
          <w:shd w:val="clear" w:color="auto" w:fill="auto"/>
          <w:lang w:val="en-US" w:eastAsia="en-US" w:bidi="en-US"/>
        </w:rPr>
        <w:t>Pocahontas,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(1841); </w:t>
      </w:r>
      <w:r>
        <w:rPr>
          <w:rFonts w:ascii="Times New Roman" w:eastAsia="Times New Roman" w:hAnsi="Times New Roman" w:cs="Times New Roman"/>
          <w:i/>
          <w:iCs/>
          <w:color w:val="000000"/>
          <w:spacing w:val="0"/>
          <w:w w:val="100"/>
          <w:position w:val="0"/>
          <w:shd w:val="clear" w:color="auto" w:fill="auto"/>
          <w:lang w:val="en-US" w:eastAsia="en-US" w:bidi="en-US"/>
        </w:rPr>
        <w:t>Pleasant Memories of Pleasant Lands</w:t>
      </w:r>
      <w:r>
        <w:rPr>
          <w:rFonts w:ascii="Times New Roman" w:eastAsia="Times New Roman" w:hAnsi="Times New Roman" w:cs="Times New Roman"/>
          <w:color w:val="000000"/>
          <w:spacing w:val="0"/>
          <w:w w:val="100"/>
          <w:position w:val="0"/>
          <w:shd w:val="clear" w:color="auto" w:fill="auto"/>
          <w:lang w:val="en-US" w:eastAsia="en-US" w:bidi="en-US"/>
        </w:rPr>
        <w:t xml:space="preserve"> (1842), descriptive of her trip to Europe in 1840; </w:t>
      </w:r>
      <w:r>
        <w:rPr>
          <w:rFonts w:ascii="Times New Roman" w:eastAsia="Times New Roman" w:hAnsi="Times New Roman" w:cs="Times New Roman"/>
          <w:i/>
          <w:iCs/>
          <w:color w:val="000000"/>
          <w:spacing w:val="0"/>
          <w:w w:val="100"/>
          <w:position w:val="0"/>
          <w:shd w:val="clear" w:color="auto" w:fill="auto"/>
          <w:lang w:val="en-US" w:eastAsia="en-US" w:bidi="en-US"/>
        </w:rPr>
        <w:t>Scenes in My Native Land</w:t>
      </w:r>
      <w:r>
        <w:rPr>
          <w:rFonts w:ascii="Times New Roman" w:eastAsia="Times New Roman" w:hAnsi="Times New Roman" w:cs="Times New Roman"/>
          <w:color w:val="000000"/>
          <w:spacing w:val="0"/>
          <w:w w:val="100"/>
          <w:position w:val="0"/>
          <w:shd w:val="clear" w:color="auto" w:fill="auto"/>
          <w:lang w:val="en-US" w:eastAsia="en-US" w:bidi="en-US"/>
        </w:rPr>
        <w:t xml:space="preserve"> (1844); </w:t>
      </w:r>
      <w:r>
        <w:rPr>
          <w:rFonts w:ascii="Times New Roman" w:eastAsia="Times New Roman" w:hAnsi="Times New Roman" w:cs="Times New Roman"/>
          <w:i/>
          <w:iCs/>
          <w:color w:val="000000"/>
          <w:spacing w:val="0"/>
          <w:w w:val="100"/>
          <w:position w:val="0"/>
          <w:shd w:val="clear" w:color="auto" w:fill="auto"/>
          <w:lang w:val="en-US" w:eastAsia="en-US" w:bidi="en-US"/>
        </w:rPr>
        <w:t>Letters to My Pupils</w:t>
      </w:r>
      <w:r>
        <w:rPr>
          <w:rFonts w:ascii="Times New Roman" w:eastAsia="Times New Roman" w:hAnsi="Times New Roman" w:cs="Times New Roman"/>
          <w:color w:val="000000"/>
          <w:spacing w:val="0"/>
          <w:w w:val="100"/>
          <w:position w:val="0"/>
          <w:shd w:val="clear" w:color="auto" w:fill="auto"/>
          <w:lang w:val="en-US" w:eastAsia="en-US" w:bidi="en-US"/>
        </w:rPr>
        <w:t xml:space="preserve"> (1851); </w:t>
      </w:r>
      <w:r>
        <w:rPr>
          <w:rFonts w:ascii="Times New Roman" w:eastAsia="Times New Roman" w:hAnsi="Times New Roman" w:cs="Times New Roman"/>
          <w:i/>
          <w:iCs/>
          <w:color w:val="000000"/>
          <w:spacing w:val="0"/>
          <w:w w:val="100"/>
          <w:position w:val="0"/>
          <w:shd w:val="clear" w:color="auto" w:fill="auto"/>
          <w:lang w:val="en-US" w:eastAsia="en-US" w:bidi="en-US"/>
        </w:rPr>
        <w:t>Olive Leaves</w:t>
      </w:r>
      <w:r>
        <w:rPr>
          <w:rFonts w:ascii="Times New Roman" w:eastAsia="Times New Roman" w:hAnsi="Times New Roman" w:cs="Times New Roman"/>
          <w:color w:val="000000"/>
          <w:spacing w:val="0"/>
          <w:w w:val="100"/>
          <w:position w:val="0"/>
          <w:shd w:val="clear" w:color="auto" w:fill="auto"/>
          <w:lang w:val="en-US" w:eastAsia="en-US" w:bidi="en-US"/>
        </w:rPr>
        <w:t xml:space="preserve"> (1851); </w:t>
      </w:r>
      <w:r>
        <w:rPr>
          <w:rFonts w:ascii="Times New Roman" w:eastAsia="Times New Roman" w:hAnsi="Times New Roman" w:cs="Times New Roman"/>
          <w:i/>
          <w:iCs/>
          <w:color w:val="000000"/>
          <w:spacing w:val="0"/>
          <w:w w:val="100"/>
          <w:position w:val="0"/>
          <w:shd w:val="clear" w:color="auto" w:fill="auto"/>
          <w:lang w:val="en-US" w:eastAsia="en-US" w:bidi="en-US"/>
        </w:rPr>
        <w:t>The Faded Hope</w:t>
      </w:r>
      <w:r>
        <w:rPr>
          <w:rFonts w:ascii="Times New Roman" w:eastAsia="Times New Roman" w:hAnsi="Times New Roman" w:cs="Times New Roman"/>
          <w:color w:val="000000"/>
          <w:spacing w:val="0"/>
          <w:w w:val="100"/>
          <w:position w:val="0"/>
          <w:shd w:val="clear" w:color="auto" w:fill="auto"/>
          <w:lang w:val="en-US" w:eastAsia="en-US" w:bidi="en-US"/>
        </w:rPr>
        <w:t xml:space="preserve"> (1852), in memory of her only son, who died when he was nineteen years old;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Past Meridian </w:t>
      </w:r>
      <w:r>
        <w:rPr>
          <w:rFonts w:ascii="Times New Roman" w:eastAsia="Times New Roman" w:hAnsi="Times New Roman" w:cs="Times New Roman"/>
          <w:color w:val="000000"/>
          <w:spacing w:val="0"/>
          <w:w w:val="100"/>
          <w:position w:val="0"/>
          <w:shd w:val="clear" w:color="auto" w:fill="auto"/>
          <w:lang w:val="en-US" w:eastAsia="en-US" w:bidi="en-US"/>
        </w:rPr>
        <w:t xml:space="preserve">(1854); </w:t>
      </w:r>
      <w:r>
        <w:rPr>
          <w:rFonts w:ascii="Times New Roman" w:eastAsia="Times New Roman" w:hAnsi="Times New Roman" w:cs="Times New Roman"/>
          <w:i/>
          <w:iCs/>
          <w:color w:val="000000"/>
          <w:spacing w:val="0"/>
          <w:w w:val="100"/>
          <w:position w:val="0"/>
          <w:shd w:val="clear" w:color="auto" w:fill="auto"/>
          <w:lang w:val="en-US" w:eastAsia="en-US" w:bidi="en-US"/>
        </w:rPr>
        <w:t>The Daily Counsellor</w:t>
      </w:r>
      <w:r>
        <w:rPr>
          <w:rFonts w:ascii="Times New Roman" w:eastAsia="Times New Roman" w:hAnsi="Times New Roman" w:cs="Times New Roman"/>
          <w:color w:val="000000"/>
          <w:spacing w:val="0"/>
          <w:w w:val="100"/>
          <w:position w:val="0"/>
          <w:shd w:val="clear" w:color="auto" w:fill="auto"/>
          <w:lang w:val="en-US" w:eastAsia="en-US" w:bidi="en-US"/>
        </w:rPr>
        <w:t xml:space="preserve"> (1858), poems; </w:t>
      </w:r>
      <w:r>
        <w:rPr>
          <w:rFonts w:ascii="Times New Roman" w:eastAsia="Times New Roman" w:hAnsi="Times New Roman" w:cs="Times New Roman"/>
          <w:i/>
          <w:iCs/>
          <w:color w:val="000000"/>
          <w:spacing w:val="0"/>
          <w:w w:val="100"/>
          <w:position w:val="0"/>
          <w:shd w:val="clear" w:color="auto" w:fill="auto"/>
          <w:lang w:val="en-US" w:eastAsia="en-US" w:bidi="en-US"/>
        </w:rPr>
        <w:t>Gleanings</w:t>
      </w:r>
      <w:r>
        <w:rPr>
          <w:rFonts w:ascii="Times New Roman" w:eastAsia="Times New Roman" w:hAnsi="Times New Roman" w:cs="Times New Roman"/>
          <w:color w:val="000000"/>
          <w:spacing w:val="0"/>
          <w:w w:val="100"/>
          <w:position w:val="0"/>
          <w:shd w:val="clear" w:color="auto" w:fill="auto"/>
          <w:lang w:val="en-US" w:eastAsia="en-US" w:bidi="en-US"/>
        </w:rPr>
        <w:t xml:space="preserve"> (i860), selections from her verse;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Man of Uz, and Other Poems </w:t>
      </w:r>
      <w:r>
        <w:rPr>
          <w:rFonts w:ascii="Times New Roman" w:eastAsia="Times New Roman" w:hAnsi="Times New Roman" w:cs="Times New Roman"/>
          <w:color w:val="000000"/>
          <w:spacing w:val="0"/>
          <w:w w:val="100"/>
          <w:position w:val="0"/>
          <w:shd w:val="clear" w:color="auto" w:fill="auto"/>
          <w:lang w:val="en-US" w:eastAsia="en-US" w:bidi="en-US"/>
        </w:rPr>
        <w:t xml:space="preserve">(1862); and </w:t>
      </w:r>
      <w:r>
        <w:rPr>
          <w:rFonts w:ascii="Times New Roman" w:eastAsia="Times New Roman" w:hAnsi="Times New Roman" w:cs="Times New Roman"/>
          <w:i/>
          <w:iCs/>
          <w:color w:val="000000"/>
          <w:spacing w:val="0"/>
          <w:w w:val="100"/>
          <w:position w:val="0"/>
          <w:shd w:val="clear" w:color="auto" w:fill="auto"/>
          <w:lang w:val="en-US" w:eastAsia="en-US" w:bidi="en-US"/>
        </w:rPr>
        <w:t>Letters of Life</w:t>
      </w:r>
      <w:r>
        <w:rPr>
          <w:rFonts w:ascii="Times New Roman" w:eastAsia="Times New Roman" w:hAnsi="Times New Roman" w:cs="Times New Roman"/>
          <w:color w:val="000000"/>
          <w:spacing w:val="0"/>
          <w:w w:val="100"/>
          <w:position w:val="0"/>
          <w:shd w:val="clear" w:color="auto" w:fill="auto"/>
          <w:lang w:val="en-US" w:eastAsia="en-US" w:bidi="en-US"/>
        </w:rPr>
        <w:t xml:space="preserve"> (1866), giving an account of her career. She was one of the most popular writers of her day, both in America and in England, and was called "the American Hernans.” Her writings were characterized by fluency, grace and quiet reflection on nature, domestic and religious life, and philanthropic questions; but they were too often sentimental, didactic and commonplace to have much literary value. Some of her blank verse and pictures of nature suggest Bryant. Among her most successful poems are “ Niagara ” and “ Indian Names.” Throughout her life she took an active interest in philanthropic and educational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SIGURD </w:t>
      </w:r>
      <w:r>
        <w:rPr>
          <w:rFonts w:ascii="Times New Roman" w:eastAsia="Times New Roman" w:hAnsi="Times New Roman" w:cs="Times New Roman"/>
          <w:i/>
          <w:iCs/>
          <w:color w:val="000000"/>
          <w:spacing w:val="0"/>
          <w:w w:val="100"/>
          <w:position w:val="0"/>
          <w:shd w:val="clear" w:color="auto" w:fill="auto"/>
          <w:lang w:val="en-US" w:eastAsia="en-US" w:bidi="en-US"/>
        </w:rPr>
        <w:t>(Sigurftr)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Siegfried</w:t>
      </w:r>
      <w:r>
        <w:rPr>
          <w:rFonts w:ascii="Times New Roman" w:eastAsia="Times New Roman" w:hAnsi="Times New Roman" w:cs="Times New Roman"/>
          <w:color w:val="000000"/>
          <w:spacing w:val="0"/>
          <w:w w:val="100"/>
          <w:position w:val="0"/>
          <w:shd w:val="clear" w:color="auto" w:fill="auto"/>
          <w:lang w:val="en-US" w:eastAsia="en-US" w:bidi="en-US"/>
        </w:rPr>
        <w:t xml:space="preserve"> (Μ.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Sîfrit),</w:t>
      </w:r>
      <w:r>
        <w:rPr>
          <w:rFonts w:ascii="Times New Roman" w:eastAsia="Times New Roman" w:hAnsi="Times New Roman" w:cs="Times New Roman"/>
          <w:color w:val="000000"/>
          <w:spacing w:val="0"/>
          <w:w w:val="100"/>
          <w:position w:val="0"/>
          <w:shd w:val="clear" w:color="auto" w:fill="auto"/>
          <w:lang w:val="en-US" w:eastAsia="en-US" w:bidi="en-US"/>
        </w:rPr>
        <w:t xml:space="preserve"> the hero of the </w:t>
      </w:r>
      <w:r>
        <w:rPr>
          <w:rFonts w:ascii="Times New Roman" w:eastAsia="Times New Roman" w:hAnsi="Times New Roman" w:cs="Times New Roman"/>
          <w:i/>
          <w:iCs/>
          <w:color w:val="000000"/>
          <w:spacing w:val="0"/>
          <w:w w:val="100"/>
          <w:position w:val="0"/>
          <w:shd w:val="clear" w:color="auto" w:fill="auto"/>
          <w:lang w:val="de-DE" w:eastAsia="de-DE" w:bidi="de-DE"/>
        </w:rPr>
        <w:t>Nibelungenlied,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a number of Scandinavian poems included in the older </w:t>
      </w:r>
      <w:r>
        <w:rPr>
          <w:rFonts w:ascii="Times New Roman" w:eastAsia="Times New Roman" w:hAnsi="Times New Roman" w:cs="Times New Roman"/>
          <w:i/>
          <w:iCs/>
          <w:color w:val="000000"/>
          <w:spacing w:val="0"/>
          <w:w w:val="100"/>
          <w:position w:val="0"/>
          <w:shd w:val="clear" w:color="auto" w:fill="auto"/>
          <w:lang w:val="en-US" w:eastAsia="en-US" w:bidi="en-US"/>
        </w:rPr>
        <w:t>Edda,</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of the prose </w:t>
      </w:r>
      <w:r>
        <w:rPr>
          <w:rFonts w:ascii="Times New Roman" w:eastAsia="Times New Roman" w:hAnsi="Times New Roman" w:cs="Times New Roman"/>
          <w:i/>
          <w:iCs/>
          <w:color w:val="000000"/>
          <w:spacing w:val="0"/>
          <w:w w:val="100"/>
          <w:position w:val="0"/>
          <w:shd w:val="clear" w:color="auto" w:fill="auto"/>
          <w:lang w:val="en-US" w:eastAsia="en-US" w:bidi="en-US"/>
        </w:rPr>
        <w:t>Völsunga Saga,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based upon the latter. According to both the</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