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military station; Tiberius chose it as his headquarters against the Pannonian rebels; and from Septimius Severus, who made it the centre of a military government, it gained the name of </w:t>
      </w:r>
      <w:r>
        <w:rPr>
          <w:rFonts w:ascii="Times New Roman" w:eastAsia="Times New Roman" w:hAnsi="Times New Roman" w:cs="Times New Roman"/>
          <w:i/>
          <w:iCs/>
          <w:color w:val="000000"/>
          <w:spacing w:val="0"/>
          <w:w w:val="100"/>
          <w:position w:val="0"/>
          <w:shd w:val="clear" w:color="auto" w:fill="auto"/>
          <w:lang w:val="en-US" w:eastAsia="en-US" w:bidi="en-US"/>
        </w:rPr>
        <w:t>Septimia Sissia.</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Segesta,</w:t>
      </w:r>
      <w:r>
        <w:rPr>
          <w:rFonts w:ascii="Times New Roman" w:eastAsia="Times New Roman" w:hAnsi="Times New Roman" w:cs="Times New Roman"/>
          <w:color w:val="000000"/>
          <w:spacing w:val="0"/>
          <w:w w:val="100"/>
          <w:position w:val="0"/>
          <w:shd w:val="clear" w:color="auto" w:fill="auto"/>
          <w:lang w:val="en-US" w:eastAsia="en-US" w:bidi="en-US"/>
        </w:rPr>
        <w:t xml:space="preserve"> on the Save, is mentioned by Appian, and Strabo distinguishes between this town and the neighbouring </w:t>
      </w:r>
      <w:r>
        <w:rPr>
          <w:rFonts w:ascii="Times New Roman" w:eastAsia="Times New Roman" w:hAnsi="Times New Roman" w:cs="Times New Roman"/>
          <w:i/>
          <w:iCs/>
          <w:color w:val="000000"/>
          <w:spacing w:val="0"/>
          <w:w w:val="100"/>
          <w:position w:val="0"/>
          <w:shd w:val="clear" w:color="auto" w:fill="auto"/>
          <w:lang w:val="en-US" w:eastAsia="en-US" w:bidi="en-US"/>
        </w:rPr>
        <w:t>Siscia.</w:t>
      </w:r>
      <w:r>
        <w:rPr>
          <w:rFonts w:ascii="Times New Roman" w:eastAsia="Times New Roman" w:hAnsi="Times New Roman" w:cs="Times New Roman"/>
          <w:color w:val="000000"/>
          <w:spacing w:val="0"/>
          <w:w w:val="100"/>
          <w:position w:val="0"/>
          <w:shd w:val="clear" w:color="auto" w:fill="auto"/>
          <w:lang w:val="en-US" w:eastAsia="en-US" w:bidi="en-US"/>
        </w:rPr>
        <w:t xml:space="preserve"> It seems likely, as St Aymour suggests, that two towns, the native Segesta and the Roman fortress called by Strabo </w:t>
      </w:r>
      <w:r>
        <w:rPr>
          <w:rFonts w:ascii="Times New Roman" w:eastAsia="Times New Roman" w:hAnsi="Times New Roman" w:cs="Times New Roman"/>
          <w:color w:val="000000"/>
          <w:spacing w:val="0"/>
          <w:w w:val="100"/>
          <w:position w:val="0"/>
          <w:shd w:val="clear" w:color="auto" w:fill="auto"/>
          <w:lang w:val="en-US" w:eastAsia="en-US" w:bidi="en-US"/>
        </w:rPr>
        <w:t>ή</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Σίσ/αα </w:t>
      </w:r>
      <w:r>
        <w:rPr>
          <w:rFonts w:ascii="Times New Roman" w:eastAsia="Times New Roman" w:hAnsi="Times New Roman" w:cs="Times New Roman"/>
          <w:i/>
          <w:iCs/>
          <w:color w:val="000000"/>
          <w:spacing w:val="0"/>
          <w:w w:val="100"/>
          <w:position w:val="0"/>
          <w:shd w:val="clear" w:color="auto" w:fill="auto"/>
          <w:lang w:val="el-GR" w:eastAsia="el-GR" w:bidi="el-GR"/>
        </w:rPr>
        <w:t>Φρουρών,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ultimately united under the single name of Siscia. In the 3rd century, under Gallienus and Probus, the city contained the chief imperial mint and treasury; and an engraved coffer, found in Croatia, dating from the 4th century, and representing the five foremost cities of the Empire, includes Siscia along with Rome, Byzantium, Carthage and Nicomedia. Its bishopric was removed to Salona, in 441, when Attila appeared, and thenceforward the city declined. For a brief period, in the 7th and 8th centuries, the conquering Slavs made it one of their </w:t>
      </w:r>
      <w:r>
        <w:rPr>
          <w:rFonts w:ascii="Times New Roman" w:eastAsia="Times New Roman" w:hAnsi="Times New Roman" w:cs="Times New Roman"/>
          <w:i/>
          <w:iCs/>
          <w:color w:val="000000"/>
          <w:spacing w:val="0"/>
          <w:w w:val="100"/>
          <w:position w:val="0"/>
          <w:shd w:val="clear" w:color="auto" w:fill="auto"/>
          <w:lang w:val="en-US" w:eastAsia="en-US" w:bidi="en-US"/>
        </w:rPr>
        <w:t>Zupanates,</w:t>
      </w:r>
      <w:r>
        <w:rPr>
          <w:rFonts w:ascii="Times New Roman" w:eastAsia="Times New Roman" w:hAnsi="Times New Roman" w:cs="Times New Roman"/>
          <w:color w:val="000000"/>
          <w:spacing w:val="0"/>
          <w:w w:val="100"/>
          <w:position w:val="0"/>
          <w:shd w:val="clear" w:color="auto" w:fill="auto"/>
          <w:lang w:val="en-US" w:eastAsia="en-US" w:bidi="en-US"/>
        </w:rPr>
        <w:t xml:space="preserve"> or governments; but in the 10th century it was sacked by the Magyars, and in 1092 its territories were bestowed upon the cathedral chapter of </w:t>
      </w:r>
      <w:r>
        <w:rPr>
          <w:rFonts w:ascii="Times New Roman" w:eastAsia="Times New Roman" w:hAnsi="Times New Roman" w:cs="Times New Roman"/>
          <w:color w:val="000000"/>
          <w:spacing w:val="0"/>
          <w:w w:val="100"/>
          <w:position w:val="0"/>
          <w:shd w:val="clear" w:color="auto" w:fill="auto"/>
          <w:lang w:val="de-DE" w:eastAsia="de-DE" w:bidi="de-DE"/>
        </w:rPr>
        <w:t xml:space="preserve">Agram </w:t>
      </w:r>
      <w:r>
        <w:rPr>
          <w:rFonts w:ascii="Times New Roman" w:eastAsia="Times New Roman" w:hAnsi="Times New Roman" w:cs="Times New Roman"/>
          <w:color w:val="000000"/>
          <w:spacing w:val="0"/>
          <w:w w:val="100"/>
          <w:position w:val="0"/>
          <w:shd w:val="clear" w:color="auto" w:fill="auto"/>
          <w:lang w:val="en-US" w:eastAsia="en-US" w:bidi="en-US"/>
        </w:rPr>
        <w:t>by Ladislaus I., king of Hungary. Under the walls of its castle, built by this chapter in 1544, the Turks were thrice defeated in 1593. At a fourth venture the city fell, only to be evacuated in 1594. It witnessed a final Turkish defeat in 1641.</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de St Aymour, </w:t>
      </w:r>
      <w:r>
        <w:rPr>
          <w:rFonts w:ascii="Times New Roman" w:eastAsia="Times New Roman" w:hAnsi="Times New Roman" w:cs="Times New Roman"/>
          <w:i/>
          <w:iCs/>
          <w:color w:val="000000"/>
          <w:spacing w:val="0"/>
          <w:w w:val="100"/>
          <w:position w:val="0"/>
          <w:shd w:val="clear" w:color="auto" w:fill="auto"/>
          <w:lang w:val="en-US" w:eastAsia="en-US" w:bidi="en-US"/>
        </w:rPr>
        <w:t>Les Pays sud-slaves de l'</w:t>
      </w:r>
      <w:r>
        <w:rPr>
          <w:rFonts w:ascii="Times New Roman" w:eastAsia="Times New Roman" w:hAnsi="Times New Roman" w:cs="Times New Roman"/>
          <w:i/>
          <w:iCs/>
          <w:color w:val="000000"/>
          <w:spacing w:val="0"/>
          <w:w w:val="100"/>
          <w:position w:val="0"/>
          <w:shd w:val="clear" w:color="auto" w:fill="auto"/>
          <w:lang w:val="fr-FR" w:eastAsia="fr-FR" w:bidi="fr-FR"/>
        </w:rPr>
        <w:t xml:space="preserve">Autriche-Hongrie </w:t>
      </w:r>
      <w:r>
        <w:rPr>
          <w:rFonts w:ascii="Times New Roman" w:eastAsia="Times New Roman" w:hAnsi="Times New Roman" w:cs="Times New Roman"/>
          <w:color w:val="000000"/>
          <w:spacing w:val="0"/>
          <w:w w:val="100"/>
          <w:position w:val="0"/>
          <w:shd w:val="clear" w:color="auto" w:fill="auto"/>
          <w:lang w:val="en-US" w:eastAsia="en-US" w:bidi="en-US"/>
        </w:rPr>
        <w:t>(1883), ch. ii.</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SISTER, </w:t>
      </w:r>
      <w:r>
        <w:rPr>
          <w:rFonts w:ascii="Times New Roman" w:eastAsia="Times New Roman" w:hAnsi="Times New Roman" w:cs="Times New Roman"/>
          <w:color w:val="000000"/>
          <w:spacing w:val="0"/>
          <w:w w:val="100"/>
          <w:position w:val="0"/>
          <w:shd w:val="clear" w:color="auto" w:fill="auto"/>
          <w:lang w:val="en-US" w:eastAsia="en-US" w:bidi="en-US"/>
        </w:rPr>
        <w:t>the correlative of brother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female in her relation to the other children born of the same parents, also one who has acquired such relationship by marriage, a sister-in-law, or by adoption. The O. Eng. word was </w:t>
      </w:r>
      <w:r>
        <w:rPr>
          <w:rFonts w:ascii="Times New Roman" w:eastAsia="Times New Roman" w:hAnsi="Times New Roman" w:cs="Times New Roman"/>
          <w:i/>
          <w:iCs/>
          <w:color w:val="000000"/>
          <w:spacing w:val="0"/>
          <w:w w:val="100"/>
          <w:position w:val="0"/>
          <w:shd w:val="clear" w:color="auto" w:fill="auto"/>
          <w:lang w:val="en-US" w:eastAsia="en-US" w:bidi="en-US"/>
        </w:rPr>
        <w:t>sweostor;</w:t>
      </w:r>
      <w:r>
        <w:rPr>
          <w:rFonts w:ascii="Times New Roman" w:eastAsia="Times New Roman" w:hAnsi="Times New Roman" w:cs="Times New Roman"/>
          <w:color w:val="000000"/>
          <w:spacing w:val="0"/>
          <w:w w:val="100"/>
          <w:position w:val="0"/>
          <w:shd w:val="clear" w:color="auto" w:fill="auto"/>
          <w:lang w:val="en-US" w:eastAsia="en-US" w:bidi="en-US"/>
        </w:rPr>
        <w:t xml:space="preserve"> cf. Dutch </w:t>
      </w:r>
      <w:r>
        <w:rPr>
          <w:rFonts w:ascii="Times New Roman" w:eastAsia="Times New Roman" w:hAnsi="Times New Roman" w:cs="Times New Roman"/>
          <w:i/>
          <w:iCs/>
          <w:color w:val="000000"/>
          <w:spacing w:val="0"/>
          <w:w w:val="100"/>
          <w:position w:val="0"/>
          <w:shd w:val="clear" w:color="auto" w:fill="auto"/>
          <w:lang w:val="en-US" w:eastAsia="en-US" w:bidi="en-US"/>
        </w:rPr>
        <w:t>zuster,</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Schwester</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swistar;</w:t>
      </w:r>
      <w:r>
        <w:rPr>
          <w:rFonts w:ascii="Times New Roman" w:eastAsia="Times New Roman" w:hAnsi="Times New Roman" w:cs="Times New Roman"/>
          <w:color w:val="000000"/>
          <w:spacing w:val="0"/>
          <w:w w:val="100"/>
          <w:position w:val="0"/>
          <w:shd w:val="clear" w:color="auto" w:fill="auto"/>
          <w:lang w:val="en-US" w:eastAsia="en-US" w:bidi="en-US"/>
        </w:rPr>
        <w:t xml:space="preserve"> in Μ. Eng. this appears as </w:t>
      </w:r>
      <w:r>
        <w:rPr>
          <w:rFonts w:ascii="Times New Roman" w:eastAsia="Times New Roman" w:hAnsi="Times New Roman" w:cs="Times New Roman"/>
          <w:i/>
          <w:iCs/>
          <w:color w:val="000000"/>
          <w:spacing w:val="0"/>
          <w:w w:val="100"/>
          <w:position w:val="0"/>
          <w:shd w:val="clear" w:color="auto" w:fill="auto"/>
          <w:lang w:val="en-US" w:eastAsia="en-US" w:bidi="en-US"/>
        </w:rPr>
        <w:t>suster;</w:t>
      </w:r>
      <w:r>
        <w:rPr>
          <w:rFonts w:ascii="Times New Roman" w:eastAsia="Times New Roman" w:hAnsi="Times New Roman" w:cs="Times New Roman"/>
          <w:color w:val="000000"/>
          <w:spacing w:val="0"/>
          <w:w w:val="100"/>
          <w:position w:val="0"/>
          <w:shd w:val="clear" w:color="auto" w:fill="auto"/>
          <w:lang w:val="en-US" w:eastAsia="en-US" w:bidi="en-US"/>
        </w:rPr>
        <w:t xml:space="preserve"> the Scandinavian form appears in Icel. </w:t>
      </w:r>
      <w:r>
        <w:rPr>
          <w:rFonts w:ascii="Times New Roman" w:eastAsia="Times New Roman" w:hAnsi="Times New Roman" w:cs="Times New Roman"/>
          <w:i/>
          <w:iCs/>
          <w:color w:val="000000"/>
          <w:spacing w:val="0"/>
          <w:w w:val="100"/>
          <w:position w:val="0"/>
          <w:shd w:val="clear" w:color="auto" w:fill="auto"/>
          <w:lang w:val="en-US" w:eastAsia="en-US" w:bidi="en-US"/>
        </w:rPr>
        <w:t>systir,</w:t>
      </w:r>
      <w:r>
        <w:rPr>
          <w:rFonts w:ascii="Times New Roman" w:eastAsia="Times New Roman" w:hAnsi="Times New Roman" w:cs="Times New Roman"/>
          <w:color w:val="000000"/>
          <w:spacing w:val="0"/>
          <w:w w:val="100"/>
          <w:position w:val="0"/>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hd w:val="clear" w:color="auto" w:fill="auto"/>
          <w:lang w:val="en-US" w:eastAsia="en-US" w:bidi="en-US"/>
        </w:rPr>
        <w:t>systor,</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en-US" w:eastAsia="en-US" w:bidi="en-US"/>
        </w:rPr>
        <w:t>söstor,</w:t>
      </w:r>
      <w:r>
        <w:rPr>
          <w:rFonts w:ascii="Times New Roman" w:eastAsia="Times New Roman" w:hAnsi="Times New Roman" w:cs="Times New Roman"/>
          <w:color w:val="000000"/>
          <w:spacing w:val="0"/>
          <w:w w:val="100"/>
          <w:position w:val="0"/>
          <w:shd w:val="clear" w:color="auto" w:fill="auto"/>
          <w:lang w:val="en-US" w:eastAsia="en-US" w:bidi="en-US"/>
        </w:rPr>
        <w:t xml:space="preserve"> and this has curiously taken the place of the true English form </w:t>
      </w:r>
      <w:r>
        <w:rPr>
          <w:rFonts w:ascii="Times New Roman" w:eastAsia="Times New Roman" w:hAnsi="Times New Roman" w:cs="Times New Roman"/>
          <w:i/>
          <w:iCs/>
          <w:color w:val="000000"/>
          <w:spacing w:val="0"/>
          <w:w w:val="100"/>
          <w:position w:val="0"/>
          <w:shd w:val="clear" w:color="auto" w:fill="auto"/>
          <w:lang w:val="en-US" w:eastAsia="en-US" w:bidi="en-US"/>
        </w:rPr>
        <w:t>suster.</w:t>
      </w:r>
      <w:r>
        <w:rPr>
          <w:rFonts w:ascii="Times New Roman" w:eastAsia="Times New Roman" w:hAnsi="Times New Roman" w:cs="Times New Roman"/>
          <w:color w:val="000000"/>
          <w:spacing w:val="0"/>
          <w:w w:val="100"/>
          <w:position w:val="0"/>
          <w:shd w:val="clear" w:color="auto" w:fill="auto"/>
          <w:lang w:val="en-US" w:eastAsia="en-US" w:bidi="en-US"/>
        </w:rPr>
        <w:t xml:space="preserve"> Outside Teut. are found Lat. </w:t>
      </w:r>
      <w:r>
        <w:rPr>
          <w:rFonts w:ascii="Times New Roman" w:eastAsia="Times New Roman" w:hAnsi="Times New Roman" w:cs="Times New Roman"/>
          <w:i/>
          <w:iCs/>
          <w:color w:val="000000"/>
          <w:spacing w:val="0"/>
          <w:w w:val="100"/>
          <w:position w:val="0"/>
          <w:shd w:val="clear" w:color="auto" w:fill="auto"/>
          <w:lang w:val="en-US" w:eastAsia="en-US" w:bidi="en-US"/>
        </w:rPr>
        <w:t>soror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sosor,</w:t>
      </w:r>
      <w:r>
        <w:rPr>
          <w:rFonts w:ascii="Times New Roman" w:eastAsia="Times New Roman" w:hAnsi="Times New Roman" w:cs="Times New Roman"/>
          <w:color w:val="000000"/>
          <w:spacing w:val="0"/>
          <w:w w:val="100"/>
          <w:position w:val="0"/>
          <w:shd w:val="clear" w:color="auto" w:fill="auto"/>
          <w:lang w:val="en-US" w:eastAsia="en-US" w:bidi="en-US"/>
        </w:rPr>
        <w:t xml:space="preserve"> Skt. </w:t>
      </w:r>
      <w:r>
        <w:rPr>
          <w:rFonts w:ascii="Times New Roman" w:eastAsia="Times New Roman" w:hAnsi="Times New Roman" w:cs="Times New Roman"/>
          <w:i/>
          <w:iCs/>
          <w:color w:val="000000"/>
          <w:spacing w:val="0"/>
          <w:w w:val="100"/>
          <w:position w:val="0"/>
          <w:shd w:val="clear" w:color="auto" w:fill="auto"/>
          <w:lang w:val="en-US" w:eastAsia="en-US" w:bidi="en-US"/>
        </w:rPr>
        <w:t>svasti;</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 is not known, but it may be related with Skt. </w:t>
      </w:r>
      <w:r>
        <w:rPr>
          <w:rFonts w:ascii="Times New Roman" w:eastAsia="Times New Roman" w:hAnsi="Times New Roman" w:cs="Times New Roman"/>
          <w:i/>
          <w:iCs/>
          <w:color w:val="000000"/>
          <w:spacing w:val="0"/>
          <w:w w:val="100"/>
          <w:position w:val="0"/>
          <w:shd w:val="clear" w:color="auto" w:fill="auto"/>
          <w:lang w:val="en-US" w:eastAsia="en-US" w:bidi="en-US"/>
        </w:rPr>
        <w:t>svasti,</w:t>
      </w:r>
      <w:r>
        <w:rPr>
          <w:rFonts w:ascii="Times New Roman" w:eastAsia="Times New Roman" w:hAnsi="Times New Roman" w:cs="Times New Roman"/>
          <w:color w:val="000000"/>
          <w:spacing w:val="0"/>
          <w:w w:val="100"/>
          <w:position w:val="0"/>
          <w:shd w:val="clear" w:color="auto" w:fill="auto"/>
          <w:lang w:val="en-US" w:eastAsia="en-US" w:bidi="en-US"/>
        </w:rPr>
        <w:t xml:space="preserve"> happiness, joy. The Lat. </w:t>
      </w:r>
      <w:r>
        <w:rPr>
          <w:rFonts w:ascii="Times New Roman" w:eastAsia="Times New Roman" w:hAnsi="Times New Roman" w:cs="Times New Roman"/>
          <w:i/>
          <w:iCs/>
          <w:color w:val="000000"/>
          <w:spacing w:val="0"/>
          <w:w w:val="100"/>
          <w:position w:val="0"/>
          <w:shd w:val="clear" w:color="auto" w:fill="auto"/>
          <w:lang w:val="en-US" w:eastAsia="en-US" w:bidi="en-US"/>
        </w:rPr>
        <w:t>consobrinus,</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given “ cousin,” is from </w:t>
      </w:r>
      <w:r>
        <w:rPr>
          <w:rFonts w:ascii="Times New Roman" w:eastAsia="Times New Roman" w:hAnsi="Times New Roman" w:cs="Times New Roman"/>
          <w:i/>
          <w:iCs/>
          <w:color w:val="000000"/>
          <w:spacing w:val="0"/>
          <w:w w:val="100"/>
          <w:position w:val="0"/>
          <w:shd w:val="clear" w:color="auto" w:fill="auto"/>
          <w:lang w:val="en-US" w:eastAsia="en-US" w:bidi="en-US"/>
        </w:rPr>
        <w:t>con-sobrinus, sosbrinus,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stem of </w:t>
      </w:r>
      <w:r>
        <w:rPr>
          <w:rFonts w:ascii="Times New Roman" w:eastAsia="Times New Roman" w:hAnsi="Times New Roman" w:cs="Times New Roman"/>
          <w:i/>
          <w:iCs/>
          <w:color w:val="000000"/>
          <w:spacing w:val="0"/>
          <w:w w:val="100"/>
          <w:position w:val="0"/>
          <w:shd w:val="clear" w:color="auto" w:fill="auto"/>
          <w:lang w:val="en-US" w:eastAsia="en-US" w:bidi="en-US"/>
        </w:rPr>
        <w:t>soror,</w:t>
      </w:r>
      <w:r>
        <w:rPr>
          <w:rFonts w:ascii="Times New Roman" w:eastAsia="Times New Roman" w:hAnsi="Times New Roman" w:cs="Times New Roman"/>
          <w:color w:val="000000"/>
          <w:spacing w:val="0"/>
          <w:w w:val="100"/>
          <w:position w:val="0"/>
          <w:shd w:val="clear" w:color="auto" w:fill="auto"/>
          <w:lang w:val="en-US" w:eastAsia="en-US" w:bidi="en-US"/>
        </w:rPr>
        <w:t xml:space="preserve"> sister. As "brother ” and “ brethren ” are used for the male members of a religious body or community, so also is "sister ” for the female members; more particularly it is applied to the members of a female religious order or community, a “ sisterhood,” in the Roman and other churches, who are de</w:t>
        <w:softHyphen/>
        <w:t>voted to a religious life, works of charity or mercy, whether bound by irrevocable vows or not.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SISTERHOODS </w:t>
      </w:r>
      <w:r>
        <w:rPr>
          <w:rFonts w:ascii="Times New Roman" w:eastAsia="Times New Roman" w:hAnsi="Times New Roman" w:cs="Times New Roman"/>
          <w:smallCaps/>
          <w:color w:val="000000"/>
          <w:spacing w:val="0"/>
          <w:w w:val="100"/>
          <w:position w:val="0"/>
          <w:shd w:val="clear" w:color="auto" w:fill="auto"/>
          <w:lang w:val="en-US" w:eastAsia="en-US" w:bidi="en-US"/>
        </w:rPr>
        <w:t>(Modern Anglican).</w:t>
      </w:r>
      <w:r>
        <w:rPr>
          <w:rFonts w:ascii="Times New Roman" w:eastAsia="Times New Roman" w:hAnsi="Times New Roman" w:cs="Times New Roman"/>
          <w:color w:val="000000"/>
          <w:spacing w:val="0"/>
          <w:w w:val="100"/>
          <w:position w:val="0"/>
          <w:shd w:val="clear" w:color="auto" w:fill="auto"/>
          <w:lang w:val="en-US" w:eastAsia="en-US" w:bidi="en-US"/>
        </w:rPr>
        <w:t xml:space="preserve"> The dissolution of religious houses in England (1536-1540) under Henry VIII. swept away more than 140 nunneries, and the Anglican Church was left without sisterhoods for three centuries. But as these had for 900 years formed part of her system, there were protests from time to time and attempts at restoration. Amongst such protests, which generally dwelt a good deal on the want of provision for unmarried women, may be mentioned three in successive centuries. The historian Fuller would have been glad “ if such feminine foundations had still continued,” those “ good shee-schools,” only without vows (Bk. vi.). Richardson the novelist, in </w:t>
      </w:r>
      <w:r>
        <w:rPr>
          <w:rFonts w:ascii="Times New Roman" w:eastAsia="Times New Roman" w:hAnsi="Times New Roman" w:cs="Times New Roman"/>
          <w:i/>
          <w:iCs/>
          <w:color w:val="000000"/>
          <w:spacing w:val="0"/>
          <w:w w:val="100"/>
          <w:position w:val="0"/>
          <w:shd w:val="clear" w:color="auto" w:fill="auto"/>
          <w:lang w:val="en-US" w:eastAsia="en-US" w:bidi="en-US"/>
        </w:rPr>
        <w:t>Sir Charles Grandison,</w:t>
      </w:r>
      <w:r>
        <w:rPr>
          <w:rFonts w:ascii="Times New Roman" w:eastAsia="Times New Roman" w:hAnsi="Times New Roman" w:cs="Times New Roman"/>
          <w:color w:val="000000"/>
          <w:spacing w:val="0"/>
          <w:w w:val="100"/>
          <w:position w:val="0"/>
          <w:shd w:val="clear" w:color="auto" w:fill="auto"/>
          <w:lang w:val="en-US" w:eastAsia="en-US" w:bidi="en-US"/>
        </w:rPr>
        <w:t xml:space="preserve"> wishes there could be a Protestant nunnery in every county, "with a truly worthy divine, at the appointment of the bishop of the diocese, to direct and animate the devotion of such a society ”; in 1829 the poet Southey, in his </w:t>
      </w:r>
      <w:r>
        <w:rPr>
          <w:rFonts w:ascii="Times New Roman" w:eastAsia="Times New Roman" w:hAnsi="Times New Roman" w:cs="Times New Roman"/>
          <w:i/>
          <w:iCs/>
          <w:color w:val="000000"/>
          <w:spacing w:val="0"/>
          <w:w w:val="100"/>
          <w:position w:val="0"/>
          <w:shd w:val="clear" w:color="auto" w:fill="auto"/>
          <w:lang w:val="en-US" w:eastAsia="en-US" w:bidi="en-US"/>
        </w:rPr>
        <w:t>Colloquies</w:t>
      </w:r>
      <w:r>
        <w:rPr>
          <w:rFonts w:ascii="Times New Roman" w:eastAsia="Times New Roman" w:hAnsi="Times New Roman" w:cs="Times New Roman"/>
          <w:color w:val="000000"/>
          <w:spacing w:val="0"/>
          <w:w w:val="100"/>
          <w:position w:val="0"/>
          <w:shd w:val="clear" w:color="auto" w:fill="auto"/>
          <w:lang w:val="en-US" w:eastAsia="en-US" w:bidi="en-US"/>
        </w:rPr>
        <w:t xml:space="preserve"> (cxiii.), trusts that "thirty years hence this reproach also may be effaced, and England may have its </w:t>
      </w:r>
      <w:r>
        <w:rPr>
          <w:rFonts w:ascii="Times New Roman" w:eastAsia="Times New Roman" w:hAnsi="Times New Roman" w:cs="Times New Roman"/>
          <w:color w:val="000000"/>
          <w:spacing w:val="0"/>
          <w:w w:val="100"/>
          <w:position w:val="0"/>
          <w:shd w:val="clear" w:color="auto" w:fill="auto"/>
          <w:lang w:val="fr-FR" w:eastAsia="fr-FR" w:bidi="fr-FR"/>
        </w:rPr>
        <w:t xml:space="preserve">Béguines </w:t>
      </w:r>
      <w:r>
        <w:rPr>
          <w:rFonts w:ascii="Times New Roman" w:eastAsia="Times New Roman" w:hAnsi="Times New Roman" w:cs="Times New Roman"/>
          <w:color w:val="000000"/>
          <w:spacing w:val="0"/>
          <w:w w:val="100"/>
          <w:position w:val="0"/>
          <w:shd w:val="clear" w:color="auto" w:fill="auto"/>
          <w:lang w:val="en-US" w:eastAsia="en-US" w:bidi="en-US"/>
        </w:rPr>
        <w:t xml:space="preserve">and its sisters of mercy. It is grievously in need of them.” Also small practical efforts were made in the religious households! of Nicholas Ferrar at Little Gidding, 1625, and of William Law at King’s Cliffe, 1743; and under Charles II., says Fr. Bede, </w:t>
      </w:r>
      <w:r>
        <w:rPr>
          <w:rFonts w:ascii="Times New Roman" w:eastAsia="Times New Roman" w:hAnsi="Times New Roman" w:cs="Times New Roman"/>
          <w:i/>
          <w:iCs/>
          <w:color w:val="000000"/>
          <w:spacing w:val="0"/>
          <w:w w:val="100"/>
          <w:position w:val="0"/>
          <w:shd w:val="clear" w:color="auto" w:fill="auto"/>
          <w:lang w:val="en-US" w:eastAsia="en-US" w:bidi="en-US"/>
        </w:rPr>
        <w:t>Autob.,</w:t>
      </w:r>
      <w:r>
        <w:rPr>
          <w:rFonts w:ascii="Times New Roman" w:eastAsia="Times New Roman" w:hAnsi="Times New Roman" w:cs="Times New Roman"/>
          <w:color w:val="000000"/>
          <w:spacing w:val="0"/>
          <w:w w:val="100"/>
          <w:position w:val="0"/>
          <w:shd w:val="clear" w:color="auto" w:fill="auto"/>
          <w:lang w:val="en-US" w:eastAsia="en-US" w:bidi="en-US"/>
        </w:rPr>
        <w:t xml:space="preserve"> “about 12 Protestant ladies of gentle birth and considerable means ” founded a shortlived convent, with Sancroft, then Dean of St Paul’s, for director.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Southey’s appeal had weight, and before the thirty years had passed, compassion for the needs of the destitute in great cities, and the impulse of a strong Church revival, aroused a body of laymen, among whom were included Mr Gladstone, Sir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D. Acland, Mr A. J. Beresford-Hope, Lord Lyttelton </w:t>
      </w:r>
      <w:r>
        <w:rPr>
          <w:rFonts w:ascii="Times New Roman" w:eastAsia="Times New Roman" w:hAnsi="Times New Roman" w:cs="Times New Roman"/>
          <w:color w:val="000000"/>
          <w:spacing w:val="0"/>
          <w:w w:val="100"/>
          <w:position w:val="0"/>
          <w:shd w:val="clear" w:color="auto" w:fill="auto"/>
          <w:lang w:val="en-US" w:eastAsia="en-US" w:bidi="en-US"/>
        </w:rPr>
        <w:t xml:space="preserve">and Lord John Manners (chairman), to exertions which restored sisterhoods to the Church of England. On 26th March 1845 the Park Village Community was set on foot in Regent’s Park, London, to minister to the poor population of St </w:t>
      </w:r>
      <w:r>
        <w:rPr>
          <w:rFonts w:ascii="Times New Roman" w:eastAsia="Times New Roman" w:hAnsi="Times New Roman" w:cs="Times New Roman"/>
          <w:color w:val="000000"/>
          <w:spacing w:val="0"/>
          <w:w w:val="100"/>
          <w:position w:val="0"/>
          <w:shd w:val="clear" w:color="auto" w:fill="auto"/>
          <w:lang w:val="fr-FR" w:eastAsia="fr-FR" w:bidi="fr-FR"/>
        </w:rPr>
        <w:t xml:space="preserve">Pancras. </w:t>
      </w:r>
      <w:r>
        <w:rPr>
          <w:rFonts w:ascii="Times New Roman" w:eastAsia="Times New Roman" w:hAnsi="Times New Roman" w:cs="Times New Roman"/>
          <w:color w:val="000000"/>
          <w:spacing w:val="0"/>
          <w:w w:val="100"/>
          <w:position w:val="0"/>
          <w:shd w:val="clear" w:color="auto" w:fill="auto"/>
          <w:lang w:val="en-US" w:eastAsia="en-US" w:bidi="en-US"/>
        </w:rPr>
        <w:t xml:space="preserve">The “ Rule ” was compiled by Dr Pusey, who also gave spiritual supervision. In the Crimean War the superior and other sisters went out as nurses with Florence Nightingale. The community afterwards united with the </w:t>
      </w:r>
      <w:r>
        <w:rPr>
          <w:rFonts w:ascii="Times New Roman" w:eastAsia="Times New Roman" w:hAnsi="Times New Roman" w:cs="Times New Roman"/>
          <w:color w:val="000000"/>
          <w:spacing w:val="0"/>
          <w:w w:val="100"/>
          <w:position w:val="0"/>
          <w:shd w:val="clear" w:color="auto" w:fill="auto"/>
          <w:lang w:val="de-DE" w:eastAsia="de-DE" w:bidi="de-DE"/>
        </w:rPr>
        <w:t xml:space="preserve">Devonport </w:t>
      </w:r>
      <w:r>
        <w:rPr>
          <w:rFonts w:ascii="Times New Roman" w:eastAsia="Times New Roman" w:hAnsi="Times New Roman" w:cs="Times New Roman"/>
          <w:color w:val="000000"/>
          <w:spacing w:val="0"/>
          <w:w w:val="100"/>
          <w:position w:val="0"/>
          <w:shd w:val="clear" w:color="auto" w:fill="auto"/>
          <w:lang w:val="en-US" w:eastAsia="en-US" w:bidi="en-US"/>
        </w:rPr>
        <w:t xml:space="preserve">Sisters, founded by Miss Sellon in 1849, and together they form what is known as Ascot Priory. The St Thomas’s sisterhood at Oxford commenced in 1847; and the present mother-superior of the Holy Trinity Convent at Oxford, Marian Hughes, dedicated herself before witnesses to such a life as early as 1841 (Liddon’s </w:t>
      </w:r>
      <w:r>
        <w:rPr>
          <w:rFonts w:ascii="Times New Roman" w:eastAsia="Times New Roman" w:hAnsi="Times New Roman" w:cs="Times New Roman"/>
          <w:i/>
          <w:iCs/>
          <w:color w:val="000000"/>
          <w:spacing w:val="0"/>
          <w:w w:val="100"/>
          <w:position w:val="0"/>
          <w:shd w:val="clear" w:color="auto" w:fill="auto"/>
          <w:lang w:val="en-US" w:eastAsia="en-US" w:bidi="en-US"/>
        </w:rPr>
        <w:t>Life of Dr Pusey,</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Four sisterhoods stand together as the largest : those of Clewer, Wantage, All Saints and East Grinstead ; and the work of the first may stand as a specimen of that of others. The "Community of St John the Baptist ” at Clewer, near Windsor, arose in 1849 through the efforts of Mrs Tennant and the vicar, afterwards warden of the society, the Rev.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T. Carter, to save fallen women. Under the first superior, Harriet Monsell, the numbers grew apace, and are now above 200. Their services to society and the Church include 6 houses for fallen women, 7 orphanages, 9 elementary and high schools and colleges, 5 hospitals, mission work in 13 parishes and visiting in several “ married quarters ” of barracks. Many of these are im</w:t>
        <w:softHyphen/>
        <w:t xml:space="preserve">portant institutions, and their labours extend over a wide area; two of the settlements are in India and two in the United States. A list of 26 sisterhoods is given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Official Year-Book of the 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(1900), to which may be, added 10 institutions of deaconesses, many of whom live in community under rule. The Episcopal Church of Scotland has 3 sisterhoods and they are found also at Toronto, "Saint John the Divine Brisbane, "Sacred Advent ”; Grahamstown, "Resurrec</w:t>
        <w:softHyphen/>
        <w:t xml:space="preserve">tion”; Bloemfontein, "St Michael and All Angels”; Maritzburg, "Saint John the Divine.”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Year-Book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(1911) of the Protestant Episcopal Church of America (Anglican) mentions 18 American sister</w:t>
        <w:softHyphen/>
        <w:t>hoods and 7 deaconess homes and training colleges.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Practically all Anglican sisterhoods originated in works of  mercy, 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this fact largely accounts for the rapidity with which they have won their way to the good will and confidence of the Church. Their number is believed to exceed 3000, and the de</w:t>
        <w:softHyphen/>
        <w:t>mand for their services is greater than the supply. Bishops are often their visitors, and Church Congresses, Convocation and Lambeth Conferences have given them encouragement and regulation. This change in sympathy, again, has gained a hearing from modem historians, who tend more and more to discredit the wholesale defamation of the dissolution period. This charitable activity, however, distinguishes the modern sister from the nuns of primitive and medieval times, who were cloistered and con</w:t>
        <w:softHyphen/>
        <w:t xml:space="preserve">templative, and left external works to deaconesses, or to laywomen of a “ third order,” or to the freer societies like the </w:t>
      </w:r>
      <w:r>
        <w:rPr>
          <w:rFonts w:ascii="Times New Roman" w:eastAsia="Times New Roman" w:hAnsi="Times New Roman" w:cs="Times New Roman"/>
          <w:color w:val="000000"/>
          <w:spacing w:val="0"/>
          <w:w w:val="100"/>
          <w:position w:val="0"/>
          <w:shd w:val="clear" w:color="auto" w:fill="auto"/>
          <w:lang w:val="fr-FR" w:eastAsia="fr-FR" w:bidi="fr-FR"/>
        </w:rPr>
        <w:t xml:space="preserve">Béguines. </w:t>
      </w:r>
      <w:r>
        <w:rPr>
          <w:rFonts w:ascii="Times New Roman" w:eastAsia="Times New Roman" w:hAnsi="Times New Roman" w:cs="Times New Roman"/>
          <w:color w:val="000000"/>
          <w:spacing w:val="0"/>
          <w:w w:val="100"/>
          <w:position w:val="0"/>
          <w:shd w:val="clear" w:color="auto" w:fill="auto"/>
          <w:lang w:val="en-US" w:eastAsia="en-US" w:bidi="en-US"/>
        </w:rPr>
        <w:t>St Vincent de Paul is considered to have begun the new era with his institution of " Sisters of Charity ” in 1634. Another modern feature is the fuller recognition of family ties: Rule 29 of the Clewer sisters directs that “the sisters shall have free intercourse with relations, who may visit them at any time.” But in most essential respects modern sisterhoods follow the ancient traditions. They devote themselves to the celibate life, have property in common, and observe a common rule of prayer, fellowship and work. Government is by a sister superior, assisted by various officers. The warden and chaplain are clergy, and the visitor is commonly a bishop. In one important regard there has been hesitation, and authorities like Dr Littledale and Bishop Grafton contend strongly for the primitive ideal of the convent as family, with a constitutional government, as against the later and wide</w:t>
        <w:softHyphen/>
        <w:t>spread Jesuit ideal of the convent as regiment, with a theory of despotic rule and absolute obedience. If some early mistakes in the restoration of sisterhoods were due to this exaggerated doctrine of obedience, the doctrine itself may be trusted to disappear among a Church and people accustomed to free institu</w:t>
        <w:softHyphen/>
        <w:t>tions and to respect for individuality.</w:t>
      </w:r>
    </w:p>
    <w:p>
      <w:pPr>
        <w:pStyle w:val="Style3"/>
        <w:keepNext w:val="0"/>
        <w:keepLines w:val="0"/>
        <w:widowControl w:val="0"/>
        <w:shd w:val="clear" w:color="auto" w:fill="auto"/>
        <w:tabs>
          <w:tab w:pos="4152" w:val="left"/>
        </w:tabs>
        <w:bidi w:val="0"/>
        <w:spacing w:line="182"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Carter,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Memoir of Harriet Monsell;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Dr 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Littledale, Papers on " Sisterhoods ”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Monthly Packet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1874-November 1879); Parl. Report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Convent. and Monast. Inst,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Lina Eckenstein,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Woman under Monasticism;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Bishop Grafton,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(J. O. 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SISTOVA </w:t>
      </w:r>
      <w:r>
        <w:rPr>
          <w:rFonts w:ascii="Times New Roman" w:eastAsia="Times New Roman" w:hAnsi="Times New Roman" w:cs="Times New Roman"/>
          <w:color w:val="000000"/>
          <w:spacing w:val="0"/>
          <w:w w:val="100"/>
          <w:position w:val="0"/>
          <w:shd w:val="clear" w:color="auto" w:fill="auto"/>
          <w:lang w:val="en-US" w:eastAsia="en-US" w:bidi="en-US"/>
        </w:rPr>
        <w:t xml:space="preserve">(Bulg. </w:t>
      </w:r>
      <w:r>
        <w:rPr>
          <w:rFonts w:ascii="Times New Roman" w:eastAsia="Times New Roman" w:hAnsi="Times New Roman" w:cs="Times New Roman"/>
          <w:i/>
          <w:iCs/>
          <w:color w:val="000000"/>
          <w:spacing w:val="0"/>
          <w:w w:val="100"/>
          <w:position w:val="0"/>
          <w:shd w:val="clear" w:color="auto" w:fill="auto"/>
          <w:lang w:val="en-US" w:eastAsia="en-US" w:bidi="en-US"/>
        </w:rPr>
        <w:t>Svishtov),</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department of Sistova, Bulgaria, on the right bank of the Danube, 40 m. W.</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