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landmark for measurements, and from it a curved line (the temporal crest) runs back crossing the coronal suture to reach the parietal bone (Pa, fig. 2); as it runs back this line divides into two. Below the crossing of the temporal crest the coronal suture is less serrated than above, and here it becomes obliterated first. The quadrilateral outline of the parietal bone is seen as well as its articulations; above it touches its fellow of the opposite side; in front, the frontal (Fr); below the great wing of the sphenoid or alisphenoid (As), the squamous part of the temporal or squamosal (Sq) and the mastoid part of the temporal (MT), while behind it articulates with the supra-occipital (SO), through the lambdoid suture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 four angles of the parietal are points of special interest; the antero- superior angle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bregma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already noticed, and it will be seen to lie nearly above the ear opening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 auditory meatus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temporal bone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antero-inferior angle where the frontal, parietal and alisphenoid meet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pterion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the site of an occasional Wormian bone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(epipteric).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posterior superior angle is the lambda and will be better seen on the norma occipitalis, while the posterior inferior angle, where the parietal, supra-occipital, and mastoid temporal bones meet, is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asterion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marks the lateral sinus within the cranium. A little above and behind the middle of the parietal bone, and just above the superior temporal crest,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parietal eminence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ossification starts.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squamous part of the temporal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overlaps the parietal at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squamous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from its lower part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zygomatic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projects forward to articulate with the malar. At the root of this process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glenoid cavity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condyle of the lower jaw articulates, and just behind this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 auditory meatus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Behind this again the mastoid temporal is prolonged down into a nipple-shaped swelling,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mastoid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(MT), con</w:t>
        <w:softHyphen/>
        <w:t xml:space="preserve">taining air cells and only found in the adult human skull, while just in front of the external auditory meatus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styloid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 connected with the hyoid bone by the stylo-hyoid ligament (dotted). In the side view of the face the nasal and maxillary bones are seen, and from this point of view it will be noticed that just below the nasal aperture the maxillae, where they join, are produced forward into a little spur,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anterior nasal 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a purely human characteristic. At the side of the maxilla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malar or jugal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 bone is placed, and its lozenge-shaped outline is apparent; it forms the anterior part of the zygomatic arch. When the mandible is disarticulated and removed the posterior part of the maxilla is seen, and behind it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 pterygoid plate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sphenoid. Between these two bones there is a vertical slit-like opening into a cave,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spheno-maxillary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communicates with the orbit through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 maxillary fissure,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nasal cavity through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spheno-palatine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cranial cavity through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foramen rotundum,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with the mouth through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posterior palatine canal,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well as having other smaller openings.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side view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mandible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lower jaw shows the body, already seen from in front, and the ramus projecting up from the back part of it at an angle of from 110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120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adult. Before the teeth come and after they are lost the angle is greater. The point just above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2) is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angle of the jaw.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upper part of the ramus arc two projections; the most anterior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coronoid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attachment of the temporal muscle, while posteriorly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condyle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articulates with the glenoid cavity of the temporal bone.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Skull from behind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(norma occipitalis)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3). From this point of view the posterior ends of the parietal bones (PP), with the sagittal suture between them, arc seen. Below these comes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supra-occipital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3, O) separated from them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lambdoid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deeply ser</w:t>
        <w:softHyphen/>
        <w:t xml:space="preserve">rated and a frequent site of Wormian bones. Where the sagittal and lambdoid sutures meet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lambda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and here a small Wormian bone is sometimes found,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preinter parietal.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mid line about a hand’s breadth (2</w:t>
      </w: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in.) below the lambda is a prominence,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 occipital protuberance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attachment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ligamentum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nuchae,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running out on each side from this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superior curved lines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attach muscles of the neck.</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Skull from below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(norma basalis)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4). Starting from in front,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superior alveolar arcade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teeth sockets is seen. This in a European skull approaches a semicircle, but in lower races the sides become more parallel ; this is known as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hypsilaid arcade.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Within the arcade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hard palate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formed by the maxillae in front (fig. 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palate bones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behind.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the front of the median suture between the maxillae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palatine canal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if it is looked into closely, will be seen to lead into four small foramina, two antero-posterior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Scarpa's foramina,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naso-palatine nerves, and two lateral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Stensen's foramina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small arteries and the re</w:t>
        <w:softHyphen/>
        <w:t xml:space="preserve">mains of the mouth opening of Jacobson’s organ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Olfactory System).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young skulls a suture runs outward from the anterior palatine canal to between the lateral incisor and canine sockets, and sometimes another runs from the same place to between the central and lateral incisor teeth.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each postero-lateral angle of the palate arc the posterior palatine canals for the descending palatine nerves. The posterior mar</w:t>
        <w:softHyphen/>
        <w:t xml:space="preserve">gin of the hard palate is a free edge which forms the lower boundary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w:t>
        <w:softHyphen/>
        <w:t>terior nasal apertures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choanae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attaches the soft palate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Pharynx).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w:t>
        <w:softHyphen/>
        <w:t xml:space="preserve">hind the alveolar arcade on each side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external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 pterygoid plates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sphenoid; the external is a muscular process for the attachment of the pterygoid muscles, while the internal ends below in the hook-like hamular process which is directed backward and outward. Dividing the posterior nasal aperture into two is the vertical hind edge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which articulates above with the body of the sphenoid (basi-sphenoid), and just behind this the sphenoid is united by bone with the basioccipital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though up to twenty years of age there is a synchrondrosis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Joints)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basilar suture)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them. It is therefore very easy to tell an adult’s skull from that of a young person. Passing back in the mid line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foramen magnum (f)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seen, through which pass the spinal cord and its membranes, the vertebral arteries and the spinal accessory nerves. A little in front of this is a small tubercle,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pharyngeal 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which the constrictors of the pharynx are attached. On each side of the fora</w:t>
        <w:softHyphen/>
        <w:t xml:space="preserve">men magnum and in front of its mid transverse diameter arc the condyles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articulate with the atlas, while just above these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condylar foramina,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on each side, for the exit of the hypoglossal nerves.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External to the pterygoid plates the base of the skull is formed by the ali-sphenoid, which projects backward into a point, </w:t>
      </w:r>
      <w:r>
        <w:rPr>
          <w:rFonts w:ascii="Times New Roman" w:eastAsia="Times New Roman" w:hAnsi="Times New Roman" w:cs="Times New Roman"/>
          <w:i/>
          <w:iCs/>
          <w:color w:val="000000"/>
          <w:spacing w:val="0"/>
          <w:w w:val="100"/>
          <w:position w:val="0"/>
          <w:shd w:val="clear" w:color="auto" w:fill="auto"/>
          <w:lang w:val="en-US" w:eastAsia="en-US" w:bidi="en-US"/>
        </w:rPr>
        <w:t>the spine of the sphenoid,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just in front of this is the small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foramen spinosum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passage of the middle meningeal artery. In front and a little internal to the foramen spinosum is a larger opening, the </w:t>
      </w:r>
      <w:r>
        <w:rPr>
          <w:rFonts w:ascii="Times New Roman" w:eastAsia="Times New Roman" w:hAnsi="Times New Roman" w:cs="Times New Roman"/>
          <w:i/>
          <w:iCs/>
          <w:color w:val="000000"/>
          <w:spacing w:val="0"/>
          <w:w w:val="100"/>
          <w:position w:val="0"/>
          <w:shd w:val="clear" w:color="auto" w:fill="auto"/>
          <w:lang w:val="en-US" w:eastAsia="en-US" w:bidi="en-US"/>
        </w:rPr>
        <w:t>foramen ovale,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the third division of the fifth nerve leaves the skull. Into the re-entering angle between the ali-sphenoid and basi-occipital is fitted the </w:t>
      </w:r>
      <w:r>
        <w:rPr>
          <w:rFonts w:ascii="Times New Roman" w:eastAsia="Times New Roman" w:hAnsi="Times New Roman" w:cs="Times New Roman"/>
          <w:i/>
          <w:iCs/>
          <w:color w:val="000000"/>
          <w:spacing w:val="0"/>
          <w:w w:val="100"/>
          <w:position w:val="0"/>
          <w:shd w:val="clear" w:color="auto" w:fill="auto"/>
          <w:lang w:val="en-US" w:eastAsia="en-US" w:bidi="en-US"/>
        </w:rPr>
        <w:t>petrotes part of the temporal,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however, does not quite fill the gap but leaves a space on each side of the site of the basilar suture to be closed in by fibro-cartilage, and this is known as the </w:t>
      </w:r>
      <w:r>
        <w:rPr>
          <w:rFonts w:ascii="Times New Roman" w:eastAsia="Times New Roman" w:hAnsi="Times New Roman" w:cs="Times New Roman"/>
          <w:i/>
          <w:iCs/>
          <w:color w:val="000000"/>
          <w:spacing w:val="0"/>
          <w:w w:val="100"/>
          <w:position w:val="0"/>
          <w:shd w:val="clear" w:color="auto" w:fill="auto"/>
          <w:lang w:val="en-US" w:eastAsia="en-US" w:bidi="en-US"/>
        </w:rPr>
        <w:t>middle lacerated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lower surface of the petrous bone is the round opening of the </w:t>
      </w:r>
      <w:r>
        <w:rPr>
          <w:rFonts w:ascii="Times New Roman" w:eastAsia="Times New Roman" w:hAnsi="Times New Roman" w:cs="Times New Roman"/>
          <w:i/>
          <w:iCs/>
          <w:color w:val="000000"/>
          <w:spacing w:val="0"/>
          <w:w w:val="100"/>
          <w:position w:val="0"/>
          <w:shd w:val="clear" w:color="auto" w:fill="auto"/>
          <w:lang w:val="en-US" w:eastAsia="en-US" w:bidi="en-US"/>
        </w:rPr>
        <w:t>carotid canal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the internal carotid artery and its accompanying sympathetic nerves pass into the skull, while more externally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styloid process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projects downward and forward and is more or less ensheathed at its root by the rampart-like ridge of the </w:t>
      </w:r>
      <w:r>
        <w:rPr>
          <w:rFonts w:ascii="Times New Roman" w:eastAsia="Times New Roman" w:hAnsi="Times New Roman" w:cs="Times New Roman"/>
          <w:i/>
          <w:iCs/>
          <w:color w:val="000000"/>
          <w:spacing w:val="0"/>
          <w:w w:val="100"/>
          <w:position w:val="0"/>
          <w:shd w:val="clear" w:color="auto" w:fill="auto"/>
          <w:lang w:val="en-US" w:eastAsia="en-US" w:bidi="en-US"/>
        </w:rPr>
        <w:t>vaginal process.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 styloid process and the occipital condyle lies the </w:t>
      </w:r>
      <w:r>
        <w:rPr>
          <w:rFonts w:ascii="Times New Roman" w:eastAsia="Times New Roman" w:hAnsi="Times New Roman" w:cs="Times New Roman"/>
          <w:i/>
          <w:iCs/>
          <w:color w:val="000000"/>
          <w:spacing w:val="0"/>
          <w:w w:val="100"/>
          <w:position w:val="0"/>
          <w:shd w:val="clear" w:color="auto" w:fill="auto"/>
          <w:lang w:val="en-US" w:eastAsia="en-US" w:bidi="en-US"/>
        </w:rPr>
        <w:t>jugular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posterior lacerated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through which pass the lateral and inferior petrosal sinuses, and the glosso-pharyngeal, vagus and spinal accessory nerves. The bone which bounds this foramen behind, and which bears the posterior two-thirds of the occipital condyle, is the </w:t>
      </w:r>
      <w:r>
        <w:rPr>
          <w:rFonts w:ascii="Times New Roman" w:eastAsia="Times New Roman" w:hAnsi="Times New Roman" w:cs="Times New Roman"/>
          <w:i/>
          <w:iCs/>
          <w:color w:val="000000"/>
          <w:spacing w:val="0"/>
          <w:w w:val="100"/>
          <w:position w:val="0"/>
          <w:shd w:val="clear" w:color="auto" w:fill="auto"/>
          <w:lang w:val="en-US" w:eastAsia="en-US" w:bidi="en-US"/>
        </w:rPr>
        <w:t>ex-occipital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 of the occipital. A little behind and external to the styloid process is the tip of the mastoid process, just internal to which is the deep antero-posterior groove for the digastric muscle, and internal to that another slighter groove for the occipital artery. Behind the styloid process and between it and the mastoid is the stylo-mastoid foramen through which the facial nerve passes, while in front of the process the glenoid cavity can be seen in its entirety, bounded in front by the </w:t>
      </w:r>
      <w:r>
        <w:rPr>
          <w:rFonts w:ascii="Times New Roman" w:eastAsia="Times New Roman" w:hAnsi="Times New Roman" w:cs="Times New Roman"/>
          <w:i/>
          <w:iCs/>
          <w:color w:val="000000"/>
          <w:spacing w:val="0"/>
          <w:w w:val="100"/>
          <w:position w:val="0"/>
          <w:shd w:val="clear" w:color="auto" w:fill="auto"/>
          <w:lang w:val="en-US" w:eastAsia="en-US" w:bidi="en-US"/>
        </w:rPr>
        <w:t>eminentia articularis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divided into an anterior articular part and a posterior </w:t>
      </w:r>
      <w:r>
        <w:rPr>
          <w:rFonts w:ascii="Times New Roman" w:eastAsia="Times New Roman" w:hAnsi="Times New Roman" w:cs="Times New Roman"/>
          <w:i/>
          <w:iCs/>
          <w:color w:val="000000"/>
          <w:spacing w:val="0"/>
          <w:w w:val="100"/>
          <w:position w:val="0"/>
          <w:shd w:val="clear" w:color="auto" w:fill="auto"/>
          <w:lang w:val="en-US" w:eastAsia="en-US" w:bidi="en-US"/>
        </w:rPr>
        <w:t>tympanic plate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w:t>
      </w:r>
      <w:r>
        <w:rPr>
          <w:rFonts w:ascii="Times New Roman" w:eastAsia="Times New Roman" w:hAnsi="Times New Roman" w:cs="Times New Roman"/>
          <w:i/>
          <w:iCs/>
          <w:color w:val="000000"/>
          <w:spacing w:val="0"/>
          <w:w w:val="100"/>
          <w:position w:val="0"/>
          <w:shd w:val="clear" w:color="auto" w:fill="auto"/>
          <w:lang w:val="en-US" w:eastAsia="en-US" w:bidi="en-US"/>
        </w:rPr>
        <w:t>Glaserian fissure.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Just internal to the glenoid cavity is the opening of the bony </w:t>
      </w:r>
      <w:r>
        <w:rPr>
          <w:rFonts w:ascii="Times New Roman" w:eastAsia="Times New Roman" w:hAnsi="Times New Roman" w:cs="Times New Roman"/>
          <w:i/>
          <w:iCs/>
          <w:color w:val="000000"/>
          <w:spacing w:val="0"/>
          <w:w w:val="100"/>
          <w:position w:val="0"/>
          <w:shd w:val="clear" w:color="auto" w:fill="auto"/>
          <w:lang w:val="en-US" w:eastAsia="en-US" w:bidi="en-US"/>
        </w:rPr>
        <w:t>Eustachian tube.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posterior part of the norma basalis behind the foramen magnum is formed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supra-occipital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 of the occipital bone, so that all the four parts of the bone, which are separate up to the third year, help in the formation of that large opening. Between the foramen magnum and the external occipital protuberance and superior curved line already noticed, the bone attaches the deep muscles of the neck.</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 Interior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ranium.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the roof of the skull be sawn off the interior or cerebral surface of both the vault and the base</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