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be examined. The vault shows the cerebral aspects of parts of the frontal, parietal and occipital bones, and of the sutures between them. In the mid line is a shallow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antero-posterior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groove for the superior longitudinal blood sinus, and on each side of this irregular depressions are often seen for the Pacchionian bodies (see B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rain)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base </w:t>
      </w:r>
      <w:r>
        <w:rPr>
          <w:rFonts w:ascii="Times New Roman" w:eastAsia="Times New Roman" w:hAnsi="Times New Roman" w:cs="Times New Roman"/>
          <w:color w:val="000000"/>
          <w:spacing w:val="0"/>
          <w:w w:val="100"/>
          <w:position w:val="0"/>
          <w:sz w:val="18"/>
          <w:szCs w:val="18"/>
          <w:shd w:val="clear" w:color="auto" w:fill="auto"/>
          <w:lang w:val="en-US" w:eastAsia="en-US" w:bidi="en-US"/>
        </w:rPr>
        <w:t>(fig. 5) is divided into three fossae, anterior, middle and posterior, each being behind and on a lower level than the one in front of it.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 cranial fossa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formed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cribriform plate of the ethmoid,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near the mid line, freely perforated for the passage of the olfactory nerves. In the mid line, near the front, is a triangular plate rising up which attaches the falx cerebri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Brain)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is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crista galli.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each side of this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nasal slit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the nasal branch of the first division of the fifth nerve. On each side of the cribriform plate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orbital plate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frontal, while the back part of the fossa has for its floor the body of the sphenoid (pre-sphenoid) near the mid line and the lesser wing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(orbito-sphenoid)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each side. Each lesser wing is prolonged back into a tongue-like process,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 clinoid process,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just internal to which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optic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5, 11), and the two foramina are joined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optic groove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optic commissure. Behind this groove is a transverse elevation,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olivary eminence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(22), which marks the junction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basi- sphenoid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parts of the body of the sphenoid bone.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middle cranial fossa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like an hour-glass placed transversely, as there is a central constricted, and two lateral expanded, parts. The central part forms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pituitary fossa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5, 3) for the pituitary body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Brain)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is bounded behind by the wall-like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dorsum sellae,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the sides of which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posterior clinoid processes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 4). The olivary eminence, pituitary fossa and dorsum sellae together resemble a Turkish saddle and are often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sella turcica.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lateral expanded part of the middle cranial fossa is bounded in front by the great wing of the sphenoid (alisphenoid), behind by the front of the petrous part of the temporal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(periotic)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laterally by the squamous part of the temporal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(squamosal).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Between the ali</w:t>
        <w:softHyphen/>
        <w:t xml:space="preserve">sphenoid and orbitosphenoid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sphenoidal fissure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already noticed in the orbit, and a little behind this, piercing the alisphenoid, is the posterior opening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foramen rotundum,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through which the second division of the fifth nerve passes into the spheno-maxillary fossa. Further back the alisphenoid is pierced by the foramen ovale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foramen sρinosum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both of which have been already noticed on the norma basalis. From the latter a groove for the middle meningeal artery runs forward and outward, and soon divides into anterior and posterior branches, the former of which deepens into a tunnel near the pterion. At the apex of the petrous bone and at the side of the dorsum sellae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middle lacerated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already noticed, and running inward to this from an aperture in the petrous bone is a groove for the great superficial petrosal nerve which is overlaid by the Casserian ganglion of the fifth nerve.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posterior cranial fossa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pentagonal in outline, having an anterior border formed by the dorsum sellae, two antero-lateral borders, by the upper borders of the petrous bones, and two postero</w:t>
        <w:softHyphen/>
        <w:t>lateral curved borders, by the grooves for the lateral sinuses (fig. 5, 11). In the middle of this fossa is the foramen magnum, bounded by the four parts of the occipital bone, which unite during child</w:t>
        <w:softHyphen/>
        <w:t xml:space="preserve">hood. In front of the foramen magnum the floor of the fossa is formed by the basi-occipital and basi-sphenoid bones, which unite soon after twenty and form a steep slope, downward and backward, known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clivus (b).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is slightly grooved from side to side, and lodges the pons and medulla.(see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Brain)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basilar artery.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each side of the basi-occipital the posterior surface of the petrous bone bounds the fossa, and lying over the suture between them is the groove for the inferior petrosal venous sinus which leads backward and outward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jugular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already noticed on the norma basalis. About the middle of the posterior surface of the petrous bone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internal auditory meatus,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through which pass the facial and auditory nerves, the pars intermedia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Nerves, Cranial)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auditory artery. Close to the antero-lateral part ' of the foramen magnum is the inner opening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 condylar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sometimes double for the two bundles of the hypoglossal nerve, and a little in front of and outside this is a heaping up of bone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tuberculum jugulare,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marks the union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basi- and ex-occipital bones. The hindmost limit of the posterior fossa in the mid line is marked by an elevation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internal occipital protuberance,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at this point the grooves for the superior longitudinal (5), and two lateral sinuses (11) join to form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torcular Herophili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Veins).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Running from the internal occipital pro</w:t>
        <w:softHyphen/>
        <w:t xml:space="preserve">tuberance toward the foramen magnum in the mid line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internal occipital crest,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attaches the falx cerebelli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Brain)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on each side of this is the cerebellar fossa.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internal occipital protuberance the two wide grooves for the lateral venous sinuses (11 ) run nearly horizontally outward till they reach the posterior inferior angles of the parietal bones; here they turn downward with an S-haped curve, grooving the mastoid portion of the temporal and later on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exoccipital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bones, until they reach the jugular foramina. To the edges of the hori</w:t>
        <w:softHyphen/>
        <w:t>zontal parts of these grooves, and to the upper edge of the petrous bones the tentorium cerebelli is attached.</w:t>
      </w:r>
    </w:p>
    <w:p>
      <w:pPr>
        <w:pStyle w:val="Style3"/>
        <w:keepNext w:val="0"/>
        <w:keepLines w:val="0"/>
        <w:widowControl w:val="0"/>
        <w:shd w:val="clear" w:color="auto" w:fill="auto"/>
        <w:bidi w:val="0"/>
        <w:spacing w:line="617"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 Skull in Sagittal Section.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If the skull be sawn down just to the right of the mid line and the left half be looked at, the appear</w:t>
        <w:softHyphen/>
        <w:t xml:space="preserve">ance will be that reproduced in fig. 6. The section of the cranial bones shows that they are formed of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outer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inner table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hard bone, while between the two is a layer of cancellous tissue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diploe.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certain places the diploe is invaded by ingrowths from the air passage which separate the two tables and form the air sinuses of the skull, though it is important not to confuse these with the intracranial blood or venous sinuses. In the section under con</w:t>
        <w:softHyphen/>
        <w:t xml:space="preserve">sideration two of these spaces,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frontal (fs)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sphenoidal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air sinuses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seen. Behind the frontal sinus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crista galli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already mentioned, while below is the bony septum of the nose formed,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mes-ethmoid plate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vomer,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and the line of junction of the palatine processes of the two maxillae and two palate bones. The re-entering angle between the mes-ethmoid and vomer is filled in the recent state by the septal cartilage (SC).</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Below the face is the inner surface of the body and ramus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mandible,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half-way down the latter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inferior dental foramen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where the inferior dental branch of the fifth nerve accompanied by its artery passes into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inferior dental canal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substance of the bone to supply the lower teeth. Just in front of this foramen is a little tongue of bone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lingula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attaching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spheno-mandi- bular (long internal lateral) ligament,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running downward and forward from this is the mylo-hyoid ridge with the groove of the same name just below it.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the cut surface of the right half of the skull be looked at, the outer wall of the nasal cavity will be seen with the three turbinated bones each overhanging its own meatus, but the anatomy of this part has already been dealt with in the article on the olfactory system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see any standard anatomical textbook— Quain, Gray, Cunningham, &amp;c. For charm of style,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Human Skeleton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Μ. Humphry (London, 1858), although somewhat out of date, is unsurpassed.</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Embryology.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notochord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Skeleton: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Axial)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extends forward to the ventral surface of the middle cerebral vesicle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Brain)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as far</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