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absent.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song in honour of Otto III. has definite rhythm and a degree of tunefulness. The “ modus </w:t>
      </w:r>
      <w:r>
        <w:rPr>
          <w:rFonts w:ascii="Times New Roman" w:eastAsia="Times New Roman" w:hAnsi="Times New Roman" w:cs="Times New Roman"/>
          <w:color w:val="000000"/>
          <w:spacing w:val="0"/>
          <w:w w:val="100"/>
          <w:position w:val="0"/>
          <w:shd w:val="clear" w:color="auto" w:fill="auto"/>
          <w:lang w:val="fr-FR" w:eastAsia="fr-FR" w:bidi="fr-FR"/>
        </w:rPr>
        <w:t xml:space="preserve">Ottino </w:t>
      </w:r>
      <w:r>
        <w:rPr>
          <w:rFonts w:ascii="Times New Roman" w:eastAsia="Times New Roman" w:hAnsi="Times New Roman" w:cs="Times New Roman"/>
          <w:color w:val="000000"/>
          <w:spacing w:val="0"/>
          <w:w w:val="100"/>
          <w:position w:val="0"/>
          <w:shd w:val="clear" w:color="auto" w:fill="auto"/>
          <w:lang w:val="en-US" w:eastAsia="en-US" w:bidi="en-US"/>
        </w:rPr>
        <w:t>” was a well-known air, which, unlike the rest of those quoted by Coussemaker, was probably of popular origin, for the Latin words do not fit the melody and probably represent a free translation from an original in the vernacular tongue.@@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More remarkable still is a “Chanson de Table” of the 10th century, a really graceful melody, the quotation of which may serve to destroy the illusion that the major scale, so often described as modern, has any other claim to the title than the fact that it has been preserved by modern musicians, while others have been discarded.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same collection may be found, beside other historical songs, two odes of Boethius and two odes of Horace, set to music;@@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whether the melodies given represent medieval music or Roman music, corrupted or not, it is impossible to determine. These songs have been dwelt upon, for they not only represent some kinds of music that were sung in the 9th and 10th centuries, but indicate the sources from which later on the work of the troubadours was derived. They may be summed up as a church-song and folk-song, and the songs by more or less cultured persons made after these models. For the subsequent history of the art the folk-song represents by far the most potent influence, but the melodies quoted by Coussemaker which might be regarded as the works of the popular instinct afford in</w:t>
        <w:softHyphen/>
        <w:t>sufficient data for safe generalization. More direct evidence is to be found in the 12th-century pastoral play—</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Jeu de Robin et de Marion,</w:t>
      </w:r>
      <w:r>
        <w:rPr>
          <w:rFonts w:ascii="Times New Roman" w:eastAsia="Times New Roman" w:hAnsi="Times New Roman" w:cs="Times New Roman"/>
          <w:color w:val="000000"/>
          <w:spacing w:val="0"/>
          <w:w w:val="100"/>
          <w:position w:val="0"/>
          <w:shd w:val="clear" w:color="auto" w:fill="auto"/>
          <w:lang w:val="en-US" w:eastAsia="en-US" w:bidi="en-US"/>
        </w:rPr>
        <w:t xml:space="preserve"> till within recent years considered as the work of Adam de la Hale, but since the able criticisms of Μ. Tiersot in the work referred to above, likely henceforth to be regarded 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oldest collection of folk-songs in existence; for the original compositions which </w:t>
      </w:r>
      <w:r>
        <w:rPr>
          <w:rFonts w:ascii="Times New Roman" w:eastAsia="Times New Roman" w:hAnsi="Times New Roman" w:cs="Times New Roman"/>
          <w:color w:val="000000"/>
          <w:spacing w:val="0"/>
          <w:w w:val="100"/>
          <w:position w:val="0"/>
          <w:shd w:val="clear" w:color="auto" w:fill="auto"/>
          <w:lang w:val="fr-FR" w:eastAsia="fr-FR" w:bidi="fr-FR"/>
        </w:rPr>
        <w:t xml:space="preserve">Maître </w:t>
      </w:r>
      <w:r>
        <w:rPr>
          <w:rFonts w:ascii="Times New Roman" w:eastAsia="Times New Roman" w:hAnsi="Times New Roman" w:cs="Times New Roman"/>
          <w:color w:val="000000"/>
          <w:spacing w:val="0"/>
          <w:w w:val="100"/>
          <w:position w:val="0"/>
          <w:shd w:val="clear" w:color="auto" w:fill="auto"/>
          <w:lang w:val="en-US" w:eastAsia="en-US" w:bidi="en-US"/>
        </w:rPr>
        <w:t xml:space="preserve">Adam has bequeathed to posterity preclude us from believing that he could have originated the dainty airs contained in that play, of which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Robin m'aime </w:t>
      </w:r>
      <w:r>
        <w:rPr>
          <w:rFonts w:ascii="Times New Roman" w:eastAsia="Times New Roman" w:hAnsi="Times New Roman" w:cs="Times New Roman"/>
          <w:color w:val="000000"/>
          <w:spacing w:val="0"/>
          <w:w w:val="100"/>
          <w:position w:val="0"/>
          <w:shd w:val="clear" w:color="auto" w:fill="auto"/>
          <w:lang w:val="en-US" w:eastAsia="en-US" w:bidi="en-US"/>
        </w:rPr>
        <w:t xml:space="preserve">is generally familiar, and is still to be heard on the lips of peasants in the north of France (see Tiersot, p. 424, n.). If Μ. Tiersot’s view is correct, the melodies in </w:t>
      </w:r>
      <w:r>
        <w:rPr>
          <w:rFonts w:ascii="Times New Roman" w:eastAsia="Times New Roman" w:hAnsi="Times New Roman" w:cs="Times New Roman"/>
          <w:i/>
          <w:iCs/>
          <w:color w:val="000000"/>
          <w:spacing w:val="0"/>
          <w:w w:val="100"/>
          <w:position w:val="0"/>
          <w:shd w:val="clear" w:color="auto" w:fill="auto"/>
          <w:lang w:val="en-US" w:eastAsia="en-US" w:bidi="en-US"/>
        </w:rPr>
        <w:t>Robin et Marion</w:t>
      </w:r>
      <w:r>
        <w:rPr>
          <w:rFonts w:ascii="Times New Roman" w:eastAsia="Times New Roman" w:hAnsi="Times New Roman" w:cs="Times New Roman"/>
          <w:color w:val="000000"/>
          <w:spacing w:val="0"/>
          <w:w w:val="100"/>
          <w:position w:val="0"/>
          <w:shd w:val="clear" w:color="auto" w:fill="auto"/>
          <w:lang w:val="en-US" w:eastAsia="en-US" w:bidi="en-US"/>
        </w:rPr>
        <w:t xml:space="preserve"> may be taken to represent the popular style of an epoch considerably anterior to the date of the play itself (though allowance must be made for the correcting hand of a professional musician) which is our excuse for introducing them at this place.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speaking of the songs of troubadours, </w:t>
      </w:r>
      <w:r>
        <w:rPr>
          <w:rFonts w:ascii="Times New Roman" w:eastAsia="Times New Roman" w:hAnsi="Times New Roman" w:cs="Times New Roman"/>
          <w:color w:val="000000"/>
          <w:spacing w:val="0"/>
          <w:w w:val="100"/>
          <w:position w:val="0"/>
          <w:shd w:val="clear" w:color="auto" w:fill="auto"/>
          <w:lang w:val="fr-FR" w:eastAsia="fr-FR" w:bidi="fr-FR"/>
        </w:rPr>
        <w:t xml:space="preserve">trouvères </w:t>
      </w:r>
      <w:r>
        <w:rPr>
          <w:rFonts w:ascii="Times New Roman" w:eastAsia="Times New Roman" w:hAnsi="Times New Roman" w:cs="Times New Roman"/>
          <w:color w:val="000000"/>
          <w:spacing w:val="0"/>
          <w:w w:val="100"/>
          <w:position w:val="0"/>
          <w:shd w:val="clear" w:color="auto" w:fill="auto"/>
          <w:lang w:val="en-US" w:eastAsia="en-US" w:bidi="en-US"/>
        </w:rPr>
        <w:t>and minnesingers, allusion must be made to a class of men who played a part the importance of which both in the social and political life of the middle ages is attested by innumerable chroniclers and poets, viz. the skalds, bards or minstrels—the chief depositories of the musical and poetical traditions of the several countries to which they belonged. They varied greatly in rank. Some were attached to the retinue of kings and nobles, whilst others catered for the ear of the peasantry (eventually to be classed with jugglers, acrobats, bearwards and the like, sharing the unenviable reputation which attached to these representatives of popular medieval amusements). That these latter were also welcome at the halls of the great, is an estab</w:t>
        <w:softHyphen/>
        <w:t>lished fact, which may serve as a reminder that in feudal times the distinction that now exists between the music of the culti</w:t>
        <w:softHyphen/>
        <w:t xml:space="preserve">vated classes and of the peasantry was but slight. The style of the church music was as universally familiar as the style of the folk-song. For musicians, both of high and low degree, no other models existed. This fact is patently clear when the songs of the troubadours, </w:t>
      </w:r>
      <w:r>
        <w:rPr>
          <w:rFonts w:ascii="Times New Roman" w:eastAsia="Times New Roman" w:hAnsi="Times New Roman" w:cs="Times New Roman"/>
          <w:color w:val="000000"/>
          <w:spacing w:val="0"/>
          <w:w w:val="100"/>
          <w:position w:val="0"/>
          <w:shd w:val="clear" w:color="auto" w:fill="auto"/>
          <w:lang w:val="fr-FR" w:eastAsia="fr-FR" w:bidi="fr-FR"/>
        </w:rPr>
        <w:t xml:space="preserve">trouvères </w:t>
      </w:r>
      <w:r>
        <w:rPr>
          <w:rFonts w:ascii="Times New Roman" w:eastAsia="Times New Roman" w:hAnsi="Times New Roman" w:cs="Times New Roman"/>
          <w:color w:val="000000"/>
          <w:spacing w:val="0"/>
          <w:w w:val="100"/>
          <w:position w:val="0"/>
          <w:shd w:val="clear" w:color="auto" w:fill="auto"/>
          <w:lang w:val="en-US" w:eastAsia="en-US" w:bidi="en-US"/>
        </w:rPr>
        <w:t>and minnesingers are studied. Those minstrels continued the traditions of the better class of their predecessors, with strivings after a more polished, elaborate and artistic style. In forming their style upon an admixture of folk-song and church-song they in fact assimilated neither, and created a mongrel product without real vitality—a product that left practically no mark upon the subsequent development of the art. The astonishing skill which they exhibited in adapting the language of poetry to the most complicated metrical forms deserted them when they touched the question of musical form and of melody. Indeed their music, except in rare instances, was an adornment which the poetry could have dispensed with, and may be regarded in the main simply as a concession to the immemorial custom of treating music and poetry as inseparable arts.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real importance of these courtly minstrels in the history of song consists in their having firmly established the rhyming stanza as the vehicle for the expression of lyrical feeling, for with the rhyming stanza a corresponding compact and sym</w:t>
        <w:softHyphen/>
        <w:t xml:space="preserve">metrical melodic form was bound to come. It was, however, reserved for the popular instinct, and not for </w:t>
      </w:r>
      <w:r>
        <w:rPr>
          <w:rFonts w:ascii="Times New Roman" w:eastAsia="Times New Roman" w:hAnsi="Times New Roman" w:cs="Times New Roman"/>
          <w:color w:val="000000"/>
          <w:spacing w:val="0"/>
          <w:w w:val="100"/>
          <w:position w:val="0"/>
          <w:shd w:val="clear" w:color="auto" w:fill="auto"/>
          <w:lang w:val="fr-FR" w:eastAsia="fr-FR" w:bidi="fr-FR"/>
        </w:rPr>
        <w:t xml:space="preserve">trouvères </w:t>
      </w:r>
      <w:r>
        <w:rPr>
          <w:rFonts w:ascii="Times New Roman" w:eastAsia="Times New Roman" w:hAnsi="Times New Roman" w:cs="Times New Roman"/>
          <w:color w:val="000000"/>
          <w:spacing w:val="0"/>
          <w:w w:val="100"/>
          <w:position w:val="0"/>
          <w:shd w:val="clear" w:color="auto" w:fill="auto"/>
          <w:lang w:val="en-US" w:eastAsia="en-US" w:bidi="en-US"/>
        </w:rPr>
        <w:t xml:space="preserve">and minnesingers, to develop this form (it is probable too that some at least of the stanza forms employed belonged first to popular poetry and were afterwards developed and elaborated by these musicians of the great houses). The scheme upon which the lyrical stanza was usually based was one in which two similar parts (called by the German </w:t>
      </w:r>
      <w:r>
        <w:rPr>
          <w:rFonts w:ascii="Times New Roman" w:eastAsia="Times New Roman" w:hAnsi="Times New Roman" w:cs="Times New Roman"/>
          <w:i/>
          <w:iCs/>
          <w:color w:val="000000"/>
          <w:spacing w:val="0"/>
          <w:w w:val="100"/>
          <w:position w:val="0"/>
          <w:shd w:val="clear" w:color="auto" w:fill="auto"/>
          <w:lang w:val="en-US" w:eastAsia="en-US" w:bidi="en-US"/>
        </w:rPr>
        <w:t>Meistersingers, Stollen</w:t>
      </w:r>
      <w:r>
        <w:rPr>
          <w:rFonts w:ascii="Times New Roman" w:eastAsia="Times New Roman" w:hAnsi="Times New Roman" w:cs="Times New Roman"/>
          <w:color w:val="000000"/>
          <w:spacing w:val="0"/>
          <w:w w:val="100"/>
          <w:position w:val="0"/>
          <w:shd w:val="clear" w:color="auto" w:fill="auto"/>
          <w:lang w:val="en-US" w:eastAsia="en-US" w:bidi="en-US"/>
        </w:rPr>
        <w:t xml:space="preserve"> or props, and constituting the </w:t>
      </w:r>
      <w:r>
        <w:rPr>
          <w:rFonts w:ascii="Times New Roman" w:eastAsia="Times New Roman" w:hAnsi="Times New Roman" w:cs="Times New Roman"/>
          <w:i/>
          <w:iCs/>
          <w:color w:val="000000"/>
          <w:spacing w:val="0"/>
          <w:w w:val="100"/>
          <w:position w:val="0"/>
          <w:shd w:val="clear" w:color="auto" w:fill="auto"/>
          <w:lang w:val="de-DE" w:eastAsia="de-DE" w:bidi="de-DE"/>
        </w:rPr>
        <w:t>Aufgesang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opening song) were followed by an independent third part, the length of which was not prescribed (called </w:t>
      </w:r>
      <w:r>
        <w:rPr>
          <w:rFonts w:ascii="Times New Roman" w:eastAsia="Times New Roman" w:hAnsi="Times New Roman" w:cs="Times New Roman"/>
          <w:i/>
          <w:iCs/>
          <w:color w:val="000000"/>
          <w:spacing w:val="0"/>
          <w:w w:val="100"/>
          <w:position w:val="0"/>
          <w:shd w:val="clear" w:color="auto" w:fill="auto"/>
          <w:lang w:val="de-DE" w:eastAsia="de-DE" w:bidi="de-DE"/>
        </w:rPr>
        <w:t>Abgesang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concluding song). The complete stanza was called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and was knit together by different schemes of rhyme. For the first part the </w:t>
      </w:r>
      <w:r>
        <w:rPr>
          <w:rFonts w:ascii="Times New Roman" w:eastAsia="Times New Roman" w:hAnsi="Times New Roman" w:cs="Times New Roman"/>
          <w:color w:val="000000"/>
          <w:spacing w:val="0"/>
          <w:w w:val="100"/>
          <w:position w:val="0"/>
          <w:shd w:val="clear" w:color="auto" w:fill="auto"/>
          <w:lang w:val="fr-FR" w:eastAsia="fr-FR" w:bidi="fr-FR"/>
        </w:rPr>
        <w:t xml:space="preserve">trouvères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Meistersingers</w:t>
      </w:r>
      <w:r>
        <w:rPr>
          <w:rFonts w:ascii="Times New Roman" w:eastAsia="Times New Roman" w:hAnsi="Times New Roman" w:cs="Times New Roman"/>
          <w:color w:val="000000"/>
          <w:spacing w:val="0"/>
          <w:w w:val="100"/>
          <w:position w:val="0"/>
          <w:shd w:val="clear" w:color="auto" w:fill="auto"/>
          <w:lang w:val="en-US" w:eastAsia="en-US" w:bidi="en-US"/>
        </w:rPr>
        <w:t xml:space="preserve"> were content with some simple phrase, often borrowed direct from the folk-song, repeating it, as was natural, for the exactly similar second part: then for the third the style was apt to change towards the ecclesiastical and to wander aimlessly on to an unconvincing conclusion. The popular in</w:t>
        <w:softHyphen/>
        <w:t xml:space="preserve">stinct was finer, for we find in innumerable folk-songs, belonging to the 14th and 15th centuries, that the greater length of the </w:t>
      </w:r>
      <w:r>
        <w:rPr>
          <w:rFonts w:ascii="Times New Roman" w:eastAsia="Times New Roman" w:hAnsi="Times New Roman" w:cs="Times New Roman"/>
          <w:i/>
          <w:iCs/>
          <w:color w:val="000000"/>
          <w:spacing w:val="0"/>
          <w:w w:val="100"/>
          <w:position w:val="0"/>
          <w:shd w:val="clear" w:color="auto" w:fill="auto"/>
          <w:lang w:val="de-DE" w:eastAsia="de-DE" w:bidi="de-DE"/>
        </w:rPr>
        <w:t>Abgesang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seized upon as an opportunity, not merely for introducing fresh material, after the repetition of the phrase attached to the </w:t>
      </w:r>
      <w:r>
        <w:rPr>
          <w:rFonts w:ascii="Times New Roman" w:eastAsia="Times New Roman" w:hAnsi="Times New Roman" w:cs="Times New Roman"/>
          <w:i/>
          <w:iCs/>
          <w:color w:val="000000"/>
          <w:spacing w:val="0"/>
          <w:w w:val="100"/>
          <w:position w:val="0"/>
          <w:shd w:val="clear" w:color="auto" w:fill="auto"/>
          <w:lang w:val="en-US" w:eastAsia="en-US" w:bidi="en-US"/>
        </w:rPr>
        <w:t>two Stollen,</w:t>
      </w:r>
      <w:r>
        <w:rPr>
          <w:rFonts w:ascii="Times New Roman" w:eastAsia="Times New Roman" w:hAnsi="Times New Roman" w:cs="Times New Roman"/>
          <w:color w:val="000000"/>
          <w:spacing w:val="0"/>
          <w:w w:val="100"/>
          <w:position w:val="0"/>
          <w:shd w:val="clear" w:color="auto" w:fill="auto"/>
          <w:lang w:val="en-US" w:eastAsia="en-US" w:bidi="en-US"/>
        </w:rPr>
        <w:t xml:space="preserve"> but also for a return to that phrase,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melody, which is plainly derived from recitation, with A as </w:t>
      </w:r>
      <w:r>
        <w:rPr>
          <w:rFonts w:ascii="Times New Roman" w:eastAsia="Times New Roman" w:hAnsi="Times New Roman" w:cs="Times New Roman"/>
          <w:i/>
          <w:iCs/>
          <w:color w:val="000000"/>
          <w:spacing w:val="0"/>
          <w:w w:val="100"/>
          <w:position w:val="0"/>
          <w:shd w:val="clear" w:color="auto" w:fill="auto"/>
          <w:lang w:val="en-US" w:eastAsia="en-US" w:bidi="en-US"/>
        </w:rPr>
        <w:t>tonus carrens,</w:t>
      </w:r>
      <w:r>
        <w:rPr>
          <w:rFonts w:ascii="Times New Roman" w:eastAsia="Times New Roman" w:hAnsi="Times New Roman" w:cs="Times New Roman"/>
          <w:color w:val="000000"/>
          <w:spacing w:val="0"/>
          <w:w w:val="100"/>
          <w:position w:val="0"/>
          <w:shd w:val="clear" w:color="auto" w:fill="auto"/>
          <w:lang w:val="en-US" w:eastAsia="en-US" w:bidi="en-US"/>
        </w:rPr>
        <w:t xml:space="preserve"> closely resembles that of Ljómur, a folk-song of the Faeroe islanders, noted by H. Thuren in 1902 and identified by him with a piece of recitation (“ Fili care ”) from a 12th-century “ </w:t>
      </w:r>
      <w:r>
        <w:rPr>
          <w:rFonts w:ascii="Times New Roman" w:eastAsia="Times New Roman" w:hAnsi="Times New Roman" w:cs="Times New Roman"/>
          <w:color w:val="000000"/>
          <w:spacing w:val="0"/>
          <w:w w:val="100"/>
          <w:position w:val="0"/>
          <w:shd w:val="clear" w:color="auto" w:fill="auto"/>
          <w:lang w:val="fr-FR" w:eastAsia="fr-FR" w:bidi="fr-FR"/>
        </w:rPr>
        <w:t xml:space="preserve">Drame liturgique </w:t>
      </w:r>
      <w:r>
        <w:rPr>
          <w:rFonts w:ascii="Times New Roman" w:eastAsia="Times New Roman" w:hAnsi="Times New Roman" w:cs="Times New Roman"/>
          <w:color w:val="000000"/>
          <w:spacing w:val="0"/>
          <w:w w:val="100"/>
          <w:position w:val="0"/>
          <w:shd w:val="clear" w:color="auto" w:fill="auto"/>
          <w:lang w:val="en-US" w:eastAsia="en-US" w:bidi="en-US"/>
        </w:rPr>
        <w:t xml:space="preserve">” (deciphered by O. Fleischer,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Neumenstudien, </w:t>
      </w:r>
      <w:r>
        <w:rPr>
          <w:rFonts w:ascii="Times New Roman" w:eastAsia="Times New Roman" w:hAnsi="Times New Roman" w:cs="Times New Roman"/>
          <w:color w:val="000000"/>
          <w:spacing w:val="0"/>
          <w:w w:val="100"/>
          <w:position w:val="0"/>
          <w:shd w:val="clear" w:color="auto" w:fill="auto"/>
          <w:lang w:val="fr-FR" w:eastAsia="fr-FR" w:bidi="fr-FR"/>
        </w:rPr>
        <w:t xml:space="preserve">Bd. </w:t>
      </w:r>
      <w:r>
        <w:rPr>
          <w:rFonts w:ascii="Times New Roman" w:eastAsia="Times New Roman" w:hAnsi="Times New Roman" w:cs="Times New Roman"/>
          <w:color w:val="000000"/>
          <w:spacing w:val="0"/>
          <w:w w:val="100"/>
          <w:position w:val="0"/>
          <w:shd w:val="clear" w:color="auto" w:fill="auto"/>
          <w:lang w:val="en-US" w:eastAsia="en-US" w:bidi="en-US"/>
        </w:rPr>
        <w:t xml:space="preserve">II. p. 23). See </w:t>
      </w:r>
      <w:r>
        <w:rPr>
          <w:rFonts w:ascii="Times New Roman" w:eastAsia="Times New Roman" w:hAnsi="Times New Roman" w:cs="Times New Roman"/>
          <w:i/>
          <w:iCs/>
          <w:color w:val="000000"/>
          <w:spacing w:val="0"/>
          <w:w w:val="100"/>
          <w:position w:val="0"/>
          <w:shd w:val="clear" w:color="auto" w:fill="auto"/>
          <w:lang w:val="en-US" w:eastAsia="en-US" w:bidi="en-US"/>
        </w:rPr>
        <w:t>Folkesangen paa Farøerne,</w:t>
      </w:r>
      <w:r>
        <w:rPr>
          <w:rFonts w:ascii="Times New Roman" w:eastAsia="Times New Roman" w:hAnsi="Times New Roman" w:cs="Times New Roman"/>
          <w:color w:val="000000"/>
          <w:spacing w:val="0"/>
          <w:w w:val="100"/>
          <w:position w:val="0"/>
          <w:shd w:val="clear" w:color="auto" w:fill="auto"/>
          <w:lang w:val="en-US" w:eastAsia="en-US" w:bidi="en-US"/>
        </w:rPr>
        <w:t xml:space="preserve"> H. Thuren (Copenhagen, 1908). Identity of style between a popular song of the 9tn century,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drame liturgique.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12th and a folk-song still sung in the 20th is sufficiently striking—especially in view of the fact that in the Faeroe Islands instrumental music is practically unknown.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Lord Ashburnham has a Virgil of the 10th century, " dans </w:t>
      </w:r>
      <w:r>
        <w:rPr>
          <w:rFonts w:ascii="Times New Roman" w:eastAsia="Times New Roman" w:hAnsi="Times New Roman" w:cs="Times New Roman"/>
          <w:color w:val="000000"/>
          <w:spacing w:val="0"/>
          <w:w w:val="100"/>
          <w:position w:val="0"/>
          <w:shd w:val="clear" w:color="auto" w:fill="auto"/>
          <w:lang w:val="fr-FR" w:eastAsia="fr-FR" w:bidi="fr-FR"/>
        </w:rPr>
        <w:t xml:space="preserve">lequel les discours </w:t>
      </w:r>
      <w:r>
        <w:rPr>
          <w:rFonts w:ascii="Times New Roman" w:eastAsia="Times New Roman" w:hAnsi="Times New Roman" w:cs="Times New Roman"/>
          <w:color w:val="000000"/>
          <w:spacing w:val="0"/>
          <w:w w:val="100"/>
          <w:position w:val="0"/>
          <w:shd w:val="clear" w:color="auto" w:fill="auto"/>
          <w:lang w:val="en-US" w:eastAsia="en-US" w:bidi="en-US"/>
        </w:rPr>
        <w:t xml:space="preserve">directs de l'Eneide </w:t>
      </w:r>
      <w:r>
        <w:rPr>
          <w:rFonts w:ascii="Times New Roman" w:eastAsia="Times New Roman" w:hAnsi="Times New Roman" w:cs="Times New Roman"/>
          <w:color w:val="000000"/>
          <w:spacing w:val="0"/>
          <w:w w:val="100"/>
          <w:position w:val="0"/>
          <w:shd w:val="clear" w:color="auto" w:fill="auto"/>
          <w:lang w:val="fr-FR" w:eastAsia="fr-FR" w:bidi="fr-FR"/>
        </w:rPr>
        <w:t xml:space="preserve">sont accompagnés </w:t>
      </w:r>
      <w:r>
        <w:rPr>
          <w:rFonts w:ascii="Times New Roman" w:eastAsia="Times New Roman" w:hAnsi="Times New Roman" w:cs="Times New Roman"/>
          <w:color w:val="000000"/>
          <w:spacing w:val="0"/>
          <w:w w:val="100"/>
          <w:position w:val="0"/>
          <w:shd w:val="clear" w:color="auto" w:fill="auto"/>
          <w:lang w:val="en-US" w:eastAsia="en-US" w:bidi="en-US"/>
        </w:rPr>
        <w:t xml:space="preserve">de notations </w:t>
      </w:r>
      <w:r>
        <w:rPr>
          <w:rFonts w:ascii="Times New Roman" w:eastAsia="Times New Roman" w:hAnsi="Times New Roman" w:cs="Times New Roman"/>
          <w:color w:val="000000"/>
          <w:spacing w:val="0"/>
          <w:w w:val="100"/>
          <w:position w:val="0"/>
          <w:shd w:val="clear" w:color="auto" w:fill="auto"/>
          <w:lang w:val="fr-FR" w:eastAsia="fr-FR" w:bidi="fr-FR"/>
        </w:rPr>
        <w:t xml:space="preserve">musicales” </w:t>
      </w:r>
      <w:r>
        <w:rPr>
          <w:rFonts w:ascii="Times New Roman" w:eastAsia="Times New Roman" w:hAnsi="Times New Roman" w:cs="Times New Roman"/>
          <w:color w:val="000000"/>
          <w:spacing w:val="0"/>
          <w:w w:val="100"/>
          <w:position w:val="0"/>
          <w:shd w:val="clear" w:color="auto" w:fill="auto"/>
          <w:lang w:val="en-US" w:eastAsia="en-US" w:bidi="en-US"/>
        </w:rPr>
        <w:t>(Coussemaker).</w:t>
      </w:r>
    </w:p>
    <w:p>
      <w:pPr>
        <w:widowControl w:val="0"/>
        <w:spacing w:line="1" w:lineRule="exact"/>
      </w:pPr>
    </w:p>
    <w:sectPr>
      <w:footnotePr>
        <w:pos w:val="pageBottom"/>
        <w:numFmt w:val="decimal"/>
        <w:numRestart w:val="continuous"/>
      </w:footnotePr>
      <w:type w:val="continuous"/>
      <w:pgSz w:w="12240" w:h="15840"/>
      <w:pgMar w:top="925" w:left="860" w:right="937" w:bottom="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