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could not abrogate, modify or infringe them. But it was admitted that he might do so by the consent of the States- General. The States could give the king a dispensation from a fundamental law in a given instance; they could even, in agree</w:t>
        <w:softHyphen/>
        <w:t>ment with the king, make new fundamental laws. The States of Blois of 1576 and 1588 offer entirely convincing precedents in this respect. It was universally recognized that in the event of the line of Hugh Capet becoming extinct, it would be the func</w:t>
        <w:softHyphen/>
        <w:t>tion of the States-General to elect a new king.</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States-General of 1614 had been the last. A new con</w:t>
        <w:softHyphen/>
        <w:t xml:space="preserve">vocation had indeed been announced to take place on the majority of Louis XIV., and letters were even issued in view of the elections, but this ended in nothing. Absolute monarchy was becoming definitely established, and was incompatible with the institution of the States-General. Liberal minds, however, in the </w:t>
      </w:r>
      <w:r>
        <w:rPr>
          <w:i/>
          <w:iCs/>
          <w:color w:val="000000"/>
          <w:spacing w:val="0"/>
          <w:w w:val="100"/>
          <w:position w:val="0"/>
          <w:shd w:val="clear" w:color="auto" w:fill="auto"/>
          <w:lang w:val="en-US" w:eastAsia="en-US" w:bidi="en-US"/>
        </w:rPr>
        <w:t>entourage</w:t>
      </w:r>
      <w:r>
        <w:rPr>
          <w:color w:val="000000"/>
          <w:spacing w:val="0"/>
          <w:w w:val="100"/>
          <w:position w:val="0"/>
          <w:shd w:val="clear" w:color="auto" w:fill="auto"/>
          <w:lang w:val="en-US" w:eastAsia="en-US" w:bidi="en-US"/>
        </w:rPr>
        <w:t xml:space="preserve"> of the duke of Burgundy, who were preparing a new plan of government in view of his accession to the throne, thought of reviving the institution. It figures in the projects of St Simon and </w:t>
      </w:r>
      <w:r>
        <w:rPr>
          <w:color w:val="000000"/>
          <w:spacing w:val="0"/>
          <w:w w:val="100"/>
          <w:position w:val="0"/>
          <w:shd w:val="clear" w:color="auto" w:fill="auto"/>
          <w:lang w:val="fr-FR" w:eastAsia="fr-FR" w:bidi="fr-FR"/>
        </w:rPr>
        <w:t xml:space="preserve">Fénelon, </w:t>
      </w:r>
      <w:r>
        <w:rPr>
          <w:color w:val="000000"/>
          <w:spacing w:val="0"/>
          <w:w w:val="100"/>
          <w:position w:val="0"/>
          <w:shd w:val="clear" w:color="auto" w:fill="auto"/>
          <w:lang w:val="en-US" w:eastAsia="en-US" w:bidi="en-US"/>
        </w:rPr>
        <w:t>though the latter would have preferred to begin with an assembly of non-elected notables. But though St Simon was high in the favour of the regent Orleans, the States were not summoned at the death of Louis XIV.</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In 1789 they were summoned. They were preceded, as </w:t>
      </w:r>
      <w:r>
        <w:rPr>
          <w:color w:val="000000"/>
          <w:spacing w:val="0"/>
          <w:w w:val="100"/>
          <w:position w:val="0"/>
          <w:shd w:val="clear" w:color="auto" w:fill="auto"/>
          <w:lang w:val="fr-FR" w:eastAsia="fr-FR" w:bidi="fr-FR"/>
        </w:rPr>
        <w:t xml:space="preserve">Fénelon </w:t>
      </w:r>
      <w:r>
        <w:rPr>
          <w:color w:val="000000"/>
          <w:spacing w:val="0"/>
          <w:w w:val="100"/>
          <w:position w:val="0"/>
          <w:shd w:val="clear" w:color="auto" w:fill="auto"/>
          <w:lang w:val="en-US" w:eastAsia="en-US" w:bidi="en-US"/>
        </w:rPr>
        <w:t xml:space="preserve">had wished in former days, by an assembly of notables in 1787, which already displayed great independence. It was the refusal of the </w:t>
      </w:r>
      <w:r>
        <w:rPr>
          <w:i/>
          <w:iCs/>
          <w:color w:val="000000"/>
          <w:spacing w:val="0"/>
          <w:w w:val="100"/>
          <w:position w:val="0"/>
          <w:shd w:val="clear" w:color="auto" w:fill="auto"/>
          <w:lang w:val="fr-FR" w:eastAsia="fr-FR" w:bidi="fr-FR"/>
        </w:rPr>
        <w:t>parlement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Paris to register the fiscal edicts submitted to the Notables which led to the convocation of the States-General. The Notables, who had sat in 1787, were again summoned in 1788 to inquire into and fix the rules for the elec</w:t>
        <w:softHyphen/>
        <w:t xml:space="preserve">tions and the procedure of the States. Necker, in the </w:t>
      </w:r>
      <w:r>
        <w:rPr>
          <w:i/>
          <w:iCs/>
          <w:color w:val="000000"/>
          <w:spacing w:val="0"/>
          <w:w w:val="100"/>
          <w:position w:val="0"/>
          <w:shd w:val="clear" w:color="auto" w:fill="auto"/>
          <w:lang w:val="fr-FR" w:eastAsia="fr-FR" w:bidi="fr-FR"/>
        </w:rPr>
        <w:t xml:space="preserve">Mémoire </w:t>
      </w:r>
      <w:r>
        <w:rPr>
          <w:color w:val="000000"/>
          <w:spacing w:val="0"/>
          <w:w w:val="100"/>
          <w:position w:val="0"/>
          <w:shd w:val="clear" w:color="auto" w:fill="auto"/>
          <w:lang w:val="en-US" w:eastAsia="en-US" w:bidi="en-US"/>
        </w:rPr>
        <w:t xml:space="preserve">which he submitted to the </w:t>
      </w:r>
      <w:r>
        <w:rPr>
          <w:i/>
          <w:iCs/>
          <w:color w:val="000000"/>
          <w:spacing w:val="0"/>
          <w:w w:val="100"/>
          <w:position w:val="0"/>
          <w:shd w:val="clear" w:color="auto" w:fill="auto"/>
          <w:lang w:val="fr-FR" w:eastAsia="fr-FR" w:bidi="fr-FR"/>
        </w:rPr>
        <w:t xml:space="preserve">conseil </w:t>
      </w:r>
      <w:r>
        <w:rPr>
          <w:i/>
          <w:iCs/>
          <w:color w:val="000000"/>
          <w:spacing w:val="0"/>
          <w:w w:val="100"/>
          <w:position w:val="0"/>
          <w:shd w:val="clear" w:color="auto" w:fill="auto"/>
          <w:lang w:val="en-US" w:eastAsia="en-US" w:bidi="en-US"/>
        </w:rPr>
        <w:t>du roi</w:t>
      </w:r>
      <w:r>
        <w:rPr>
          <w:color w:val="000000"/>
          <w:spacing w:val="0"/>
          <w:w w:val="100"/>
          <w:position w:val="0"/>
          <w:shd w:val="clear" w:color="auto" w:fill="auto"/>
          <w:lang w:val="en-US" w:eastAsia="en-US" w:bidi="en-US"/>
        </w:rPr>
        <w:t xml:space="preserve"> in December 1788, granted for these States the </w:t>
      </w:r>
      <w:r>
        <w:rPr>
          <w:i/>
          <w:iCs/>
          <w:color w:val="000000"/>
          <w:spacing w:val="0"/>
          <w:w w:val="100"/>
          <w:position w:val="0"/>
          <w:shd w:val="clear" w:color="auto" w:fill="auto"/>
          <w:lang w:val="fr-FR" w:eastAsia="fr-FR" w:bidi="fr-FR"/>
        </w:rPr>
        <w:t xml:space="preserve">doublement </w:t>
      </w:r>
      <w:r>
        <w:rPr>
          <w:i/>
          <w:iCs/>
          <w:color w:val="000000"/>
          <w:spacing w:val="0"/>
          <w:w w:val="100"/>
          <w:position w:val="0"/>
          <w:shd w:val="clear" w:color="auto" w:fill="auto"/>
          <w:lang w:val="en-US" w:eastAsia="en-US" w:bidi="en-US"/>
        </w:rPr>
        <w:t>du tiers, i.e.</w:t>
      </w:r>
      <w:r>
        <w:rPr>
          <w:color w:val="000000"/>
          <w:spacing w:val="0"/>
          <w:w w:val="100"/>
          <w:position w:val="0"/>
          <w:shd w:val="clear" w:color="auto" w:fill="auto"/>
          <w:lang w:val="en-US" w:eastAsia="en-US" w:bidi="en-US"/>
        </w:rPr>
        <w:t xml:space="preserve"> that the third estate should have a number of deputies equal to that of the deputies of the other two orders combined, this is what had happened previously in the few provincial assemblies created by Necker during his first administration and in those created by an edict of 1787 for all the </w:t>
      </w:r>
      <w:r>
        <w:rPr>
          <w:i/>
          <w:iCs/>
          <w:color w:val="000000"/>
          <w:spacing w:val="0"/>
          <w:w w:val="100"/>
          <w:position w:val="0"/>
          <w:shd w:val="clear" w:color="auto" w:fill="auto"/>
          <w:lang w:val="en-US" w:eastAsia="en-US" w:bidi="en-US"/>
        </w:rPr>
        <w:t xml:space="preserve">pays </w:t>
      </w:r>
      <w:r>
        <w:rPr>
          <w:i/>
          <w:iCs/>
          <w:color w:val="000000"/>
          <w:spacing w:val="0"/>
          <w:w w:val="100"/>
          <w:position w:val="0"/>
          <w:shd w:val="clear" w:color="auto" w:fill="auto"/>
          <w:lang w:val="fr-FR" w:eastAsia="fr-FR" w:bidi="fr-FR"/>
        </w:rPr>
        <w:t>d'élections.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But Necker's report, as to the subject of deliberating separately </w:t>
      </w:r>
      <w:r>
        <w:rPr>
          <w:i/>
          <w:iCs/>
          <w:color w:val="000000"/>
          <w:spacing w:val="0"/>
          <w:w w:val="100"/>
          <w:position w:val="0"/>
          <w:shd w:val="clear" w:color="auto" w:fill="auto"/>
          <w:lang w:val="en-US" w:eastAsia="en-US" w:bidi="en-US"/>
        </w:rPr>
        <w:t xml:space="preserve">(par </w:t>
      </w:r>
      <w:r>
        <w:rPr>
          <w:i/>
          <w:iCs/>
          <w:color w:val="000000"/>
          <w:spacing w:val="0"/>
          <w:w w:val="100"/>
          <w:position w:val="0"/>
          <w:shd w:val="clear" w:color="auto" w:fill="auto"/>
          <w:lang w:val="fr-FR" w:eastAsia="fr-FR" w:bidi="fr-FR"/>
        </w:rPr>
        <w:t>ordre)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or in common, simply referred to the ancient prin</w:t>
        <w:softHyphen/>
        <w:t xml:space="preserve">ciples; and he seems also to have proposed to maintain the system of voting by </w:t>
      </w:r>
      <w:r>
        <w:rPr>
          <w:i/>
          <w:iCs/>
          <w:color w:val="000000"/>
          <w:spacing w:val="0"/>
          <w:w w:val="100"/>
          <w:position w:val="0"/>
          <w:shd w:val="clear" w:color="auto" w:fill="auto"/>
          <w:lang w:val="fr-FR" w:eastAsia="fr-FR" w:bidi="fr-FR"/>
        </w:rPr>
        <w:t>bailliages.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Now the doubling of the </w:t>
      </w:r>
      <w:r>
        <w:rPr>
          <w:i/>
          <w:iCs/>
          <w:color w:val="000000"/>
          <w:spacing w:val="0"/>
          <w:w w:val="100"/>
          <w:position w:val="0"/>
          <w:shd w:val="clear" w:color="auto" w:fill="auto"/>
          <w:lang w:val="en-US" w:eastAsia="en-US" w:bidi="en-US"/>
        </w:rPr>
        <w:t xml:space="preserve">tiers </w:t>
      </w:r>
      <w:r>
        <w:rPr>
          <w:color w:val="000000"/>
          <w:spacing w:val="0"/>
          <w:w w:val="100"/>
          <w:position w:val="0"/>
          <w:shd w:val="clear" w:color="auto" w:fill="auto"/>
          <w:lang w:val="en-US" w:eastAsia="en-US" w:bidi="en-US"/>
        </w:rPr>
        <w:t xml:space="preserve">could yield it no real advantage unless the deliberation was in common and the voting by individuals, and it was this question which from the 6th of May 1789 onwards was the subject of the separate deliberations and negotiations between the three orders. On the 13th of June the third estate had arrived at a resolution to examine and settle in common the powers of the three orders, and invited to this common work those of the clergy and nobles. Certain of the latter and the majority of the clergy joined the </w:t>
      </w:r>
      <w:r>
        <w:rPr>
          <w:i/>
          <w:iCs/>
          <w:color w:val="000000"/>
          <w:spacing w:val="0"/>
          <w:w w:val="100"/>
          <w:position w:val="0"/>
          <w:shd w:val="clear" w:color="auto" w:fill="auto"/>
          <w:lang w:val="en-US" w:eastAsia="en-US" w:bidi="en-US"/>
        </w:rPr>
        <w:t>tiers,</w:t>
      </w:r>
      <w:r>
        <w:rPr>
          <w:color w:val="000000"/>
          <w:spacing w:val="0"/>
          <w:w w:val="100"/>
          <w:position w:val="0"/>
          <w:shd w:val="clear" w:color="auto" w:fill="auto"/>
          <w:lang w:val="en-US" w:eastAsia="en-US" w:bidi="en-US"/>
        </w:rPr>
        <w:t xml:space="preserve"> and on the 17th of June it arrived at the celebrated decision by which it affirmed the principle of the national supremacy residing in the mass of the nation; the deputies, without any distinction of order, constituted a national assembly, which assembly was called upon to regenerate France by giving her a constitution, while the royal power (which in reality became provisional) could not negative its decisions. The king tried to resist. In the </w:t>
      </w:r>
      <w:r>
        <w:rPr>
          <w:i/>
          <w:iCs/>
          <w:color w:val="000000"/>
          <w:spacing w:val="0"/>
          <w:w w:val="100"/>
          <w:position w:val="0"/>
          <w:shd w:val="clear" w:color="auto" w:fill="auto"/>
          <w:lang w:val="en-US" w:eastAsia="en-US" w:bidi="en-US"/>
        </w:rPr>
        <w:t xml:space="preserve">séance </w:t>
      </w:r>
      <w:r>
        <w:rPr>
          <w:i/>
          <w:iCs/>
          <w:color w:val="000000"/>
          <w:spacing w:val="0"/>
          <w:w w:val="100"/>
          <w:position w:val="0"/>
          <w:shd w:val="clear" w:color="auto" w:fill="auto"/>
          <w:lang w:val="fr-FR" w:eastAsia="fr-FR" w:bidi="fr-FR"/>
        </w:rPr>
        <w:t>royale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the 23rd of June 1789, where he took the attitude of granting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fr-FR" w:eastAsia="fr-FR" w:bidi="fr-FR"/>
        </w:rPr>
        <w:t>charte octroyée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a constitution granted of the royal favour), he affirmed, subject to the traditional limitations, the right of separate deliberation for the three orders, which constitutionally formed three chambers. We know how this move failed; soon that part of the deputies of the nobles who still stood apart joined the National Assembly at the request of the king. The States-General had ceased to exist, having become the National Constituent Assembly, though it consisted of the deputies elected by the order.</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fr-FR" w:eastAsia="fr-FR" w:bidi="fr-FR"/>
        </w:rPr>
        <w:t xml:space="preserve">G. Picot. </w:t>
      </w:r>
      <w:r>
        <w:rPr>
          <w:i/>
          <w:iCs/>
          <w:color w:val="000000"/>
          <w:spacing w:val="0"/>
          <w:w w:val="100"/>
          <w:position w:val="0"/>
          <w:shd w:val="clear" w:color="auto" w:fill="auto"/>
          <w:lang w:val="fr-FR" w:eastAsia="fr-FR" w:bidi="fr-FR"/>
        </w:rPr>
        <w:t>Histoire des états-généraux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(2nd ed., Paris, 1888).</w:t>
      </w:r>
    </w:p>
    <w:p>
      <w:pPr>
        <w:pStyle w:val="Style2"/>
        <w:keepNext w:val="0"/>
        <w:keepLines w:val="0"/>
        <w:widowControl w:val="0"/>
        <w:shd w:val="clear" w:color="auto" w:fill="auto"/>
        <w:bidi w:val="0"/>
        <w:spacing w:line="185" w:lineRule="auto"/>
        <w:ind w:left="0" w:firstLine="0"/>
        <w:jc w:val="left"/>
        <w:rPr>
          <w:sz w:val="17"/>
          <w:szCs w:val="17"/>
        </w:rPr>
      </w:pPr>
      <w:r>
        <w:rPr>
          <w:color w:val="000000"/>
          <w:spacing w:val="0"/>
          <w:w w:val="100"/>
          <w:position w:val="0"/>
          <w:sz w:val="17"/>
          <w:szCs w:val="17"/>
          <w:shd w:val="clear" w:color="auto" w:fill="auto"/>
          <w:lang w:val="en-US" w:eastAsia="en-US" w:bidi="en-US"/>
        </w:rPr>
        <w:t>J. P. E.)</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The Dutch States-General.</w:t>
      </w:r>
      <w:r>
        <w:rPr>
          <w:color w:val="000000"/>
          <w:spacing w:val="0"/>
          <w:w w:val="100"/>
          <w:position w:val="0"/>
          <w:shd w:val="clear" w:color="auto" w:fill="auto"/>
          <w:lang w:val="en-US" w:eastAsia="en-US" w:bidi="en-US"/>
        </w:rPr>
        <w:t>—In the Netherlands the convoca</w:t>
        <w:softHyphen/>
        <w:t>tion of the States-General, consisting of delegates from the provincial estates, dates from about the middle of the 15th</w:t>
      </w:r>
    </w:p>
    <w:p>
      <w:pPr>
        <w:pStyle w:val="Style2"/>
        <w:keepNext w:val="0"/>
        <w:keepLines w:val="0"/>
        <w:widowControl w:val="0"/>
        <w:shd w:val="clear" w:color="auto" w:fill="auto"/>
        <w:tabs>
          <w:tab w:pos="3787" w:val="left"/>
        </w:tabs>
        <w:bidi w:val="0"/>
        <w:spacing w:line="211" w:lineRule="auto"/>
        <w:ind w:left="0" w:firstLine="0"/>
        <w:jc w:val="left"/>
      </w:pPr>
      <w:r>
        <w:rPr>
          <w:color w:val="000000"/>
          <w:spacing w:val="0"/>
          <w:w w:val="100"/>
          <w:position w:val="0"/>
          <w:shd w:val="clear" w:color="auto" w:fill="auto"/>
          <w:lang w:val="en-US" w:eastAsia="en-US" w:bidi="en-US"/>
        </w:rPr>
        <w:t>century, under the rule of the dukes of Burgundy The name was transferred, after the separation of the northern Nether</w:t>
        <w:softHyphen/>
        <w:t xml:space="preserve">lands from the. Spanish dominions, to the representatives elected by the seven sovereign provincial estates for the general government of the United Provinces. The States-General, in which the voting was by provinces—each province having one vote—was established from 1593 at the Hague. The States- General came to an end after the revolution in 1795, with the convocation of the National Assembly (March 1, 1796). See </w:t>
      </w:r>
      <w:r>
        <w:rPr>
          <w:smallCaps/>
          <w:color w:val="000000"/>
          <w:spacing w:val="0"/>
          <w:w w:val="100"/>
          <w:position w:val="0"/>
          <w:shd w:val="clear" w:color="auto" w:fill="auto"/>
          <w:lang w:val="en-US" w:eastAsia="en-US" w:bidi="en-US"/>
        </w:rPr>
        <w:t xml:space="preserve">Holland </w:t>
      </w:r>
      <w:r>
        <w:rPr>
          <w:i/>
          <w:iCs/>
          <w:color w:val="000000"/>
          <w:spacing w:val="0"/>
          <w:w w:val="100"/>
          <w:position w:val="0"/>
          <w:shd w:val="clear" w:color="auto" w:fill="auto"/>
          <w:lang w:val="en-US" w:eastAsia="en-US" w:bidi="en-US"/>
        </w:rPr>
        <w:t>(History).</w:t>
      </w:r>
      <w:r>
        <w:rPr>
          <w:color w:val="000000"/>
          <w:spacing w:val="0"/>
          <w:w w:val="100"/>
          <w:position w:val="0"/>
          <w:shd w:val="clear" w:color="auto" w:fill="auto"/>
          <w:lang w:val="en-US" w:eastAsia="en-US" w:bidi="en-US"/>
        </w:rPr>
        <w:t xml:space="preserve"> The title of </w:t>
      </w:r>
      <w:r>
        <w:rPr>
          <w:i/>
          <w:iCs/>
          <w:color w:val="000000"/>
          <w:spacing w:val="0"/>
          <w:w w:val="100"/>
          <w:position w:val="0"/>
          <w:shd w:val="clear" w:color="auto" w:fill="auto"/>
          <w:lang w:val="en-US" w:eastAsia="en-US" w:bidi="en-US"/>
        </w:rPr>
        <w:t>Staten-Generaal</w:t>
      </w:r>
      <w:r>
        <w:rPr>
          <w:color w:val="000000"/>
          <w:spacing w:val="0"/>
          <w:w w:val="100"/>
          <w:position w:val="0"/>
          <w:shd w:val="clear" w:color="auto" w:fill="auto"/>
          <w:lang w:val="en-US" w:eastAsia="en-US" w:bidi="en-US"/>
        </w:rPr>
        <w:t xml:space="preserve"> is, however, still borne by the Dutch parliament.</w:t>
        <w:tab/>
        <w:t>(W. A. P.)</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STATES OF THE CHURCH,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Papal States</w:t>
      </w:r>
      <w:r>
        <w:rPr>
          <w:color w:val="000000"/>
          <w:spacing w:val="0"/>
          <w:w w:val="100"/>
          <w:position w:val="0"/>
          <w:shd w:val="clear" w:color="auto" w:fill="auto"/>
          <w:lang w:val="en-US" w:eastAsia="en-US" w:bidi="en-US"/>
        </w:rPr>
        <w:t xml:space="preserve"> (Ital. </w:t>
      </w:r>
      <w:r>
        <w:rPr>
          <w:i/>
          <w:iCs/>
          <w:color w:val="000000"/>
          <w:spacing w:val="0"/>
          <w:w w:val="100"/>
          <w:position w:val="0"/>
          <w:shd w:val="clear" w:color="auto" w:fill="auto"/>
          <w:lang w:val="en-US" w:eastAsia="en-US" w:bidi="en-US"/>
        </w:rPr>
        <w:t xml:space="preserve">Stato della Chiesa, Stato Pontifico, Stato Romano, Stato Ecclesiastico;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 xml:space="preserve">États de </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lang w:val="fr-FR" w:eastAsia="fr-FR" w:bidi="fr-FR"/>
        </w:rPr>
        <w:t xml:space="preserve">Église, Pontificat Souverain </w:t>
      </w:r>
      <w:r>
        <w:rPr>
          <w:i/>
          <w:iCs/>
          <w:color w:val="000000"/>
          <w:spacing w:val="0"/>
          <w:w w:val="100"/>
          <w:position w:val="0"/>
          <w:shd w:val="clear" w:color="auto" w:fill="auto"/>
          <w:lang w:val="en-US" w:eastAsia="en-US" w:bidi="en-US"/>
        </w:rPr>
        <w:t>de Rome,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&amp;c.; </w:t>
      </w:r>
      <w:r>
        <w:rPr>
          <w:color w:val="000000"/>
          <w:spacing w:val="0"/>
          <w:w w:val="100"/>
          <w:position w:val="0"/>
          <w:shd w:val="clear" w:color="auto" w:fill="auto"/>
          <w:lang w:val="en-US" w:eastAsia="en-US" w:bidi="en-US"/>
        </w:rPr>
        <w:t xml:space="preserve">Ger. </w:t>
      </w:r>
      <w:r>
        <w:rPr>
          <w:i/>
          <w:iCs/>
          <w:color w:val="000000"/>
          <w:spacing w:val="0"/>
          <w:w w:val="100"/>
          <w:position w:val="0"/>
          <w:shd w:val="clear" w:color="auto" w:fill="auto"/>
          <w:lang w:val="de-DE" w:eastAsia="de-DE" w:bidi="de-DE"/>
        </w:rPr>
        <w:t>Kirchenstaat</w:t>
      </w:r>
      <w:r>
        <w:rPr>
          <w:color w:val="000000"/>
          <w:spacing w:val="0"/>
          <w:w w:val="100"/>
          <w:position w:val="0"/>
          <w:shd w:val="clear" w:color="auto" w:fill="auto"/>
          <w:lang w:val="de-DE" w:eastAsia="de-DE" w:bidi="de-DE"/>
        </w:rPr>
        <w:t xml:space="preserve">; in </w:t>
      </w:r>
      <w:r>
        <w:rPr>
          <w:color w:val="000000"/>
          <w:spacing w:val="0"/>
          <w:w w:val="100"/>
          <w:position w:val="0"/>
          <w:shd w:val="clear" w:color="auto" w:fill="auto"/>
          <w:lang w:val="en-US" w:eastAsia="en-US" w:bidi="en-US"/>
        </w:rPr>
        <w:t xml:space="preserve">ecclesiastical </w:t>
      </w:r>
      <w:r>
        <w:rPr>
          <w:color w:val="000000"/>
          <w:spacing w:val="0"/>
          <w:w w:val="100"/>
          <w:position w:val="0"/>
          <w:shd w:val="clear" w:color="auto" w:fill="auto"/>
          <w:lang w:val="de-DE" w:eastAsia="de-DE" w:bidi="de-DE"/>
        </w:rPr>
        <w:t xml:space="preserve">Latin </w:t>
      </w:r>
      <w:r>
        <w:rPr>
          <w:color w:val="000000"/>
          <w:spacing w:val="0"/>
          <w:w w:val="100"/>
          <w:position w:val="0"/>
          <w:shd w:val="clear" w:color="auto" w:fill="auto"/>
          <w:lang w:val="en-US" w:eastAsia="en-US" w:bidi="en-US"/>
        </w:rPr>
        <w:t xml:space="preserve">often </w:t>
      </w:r>
      <w:r>
        <w:rPr>
          <w:i/>
          <w:iCs/>
          <w:color w:val="000000"/>
          <w:spacing w:val="0"/>
          <w:w w:val="100"/>
          <w:position w:val="0"/>
          <w:shd w:val="clear" w:color="auto" w:fill="auto"/>
          <w:lang w:val="de-DE" w:eastAsia="de-DE" w:bidi="de-DE"/>
        </w:rPr>
        <w:t>Patrimonium Sancti Petri),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that portion of </w:t>
      </w:r>
      <w:r>
        <w:rPr>
          <w:color w:val="000000"/>
          <w:spacing w:val="0"/>
          <w:w w:val="100"/>
          <w:position w:val="0"/>
          <w:shd w:val="clear" w:color="auto" w:fill="auto"/>
          <w:lang w:val="de-DE" w:eastAsia="de-DE" w:bidi="de-DE"/>
        </w:rPr>
        <w:t xml:space="preserve">central </w:t>
      </w:r>
      <w:r>
        <w:rPr>
          <w:color w:val="000000"/>
          <w:spacing w:val="0"/>
          <w:w w:val="100"/>
          <w:position w:val="0"/>
          <w:shd w:val="clear" w:color="auto" w:fill="auto"/>
          <w:lang w:val="en-US" w:eastAsia="en-US" w:bidi="en-US"/>
        </w:rPr>
        <w:t>Italy which, previous to the unifica</w:t>
        <w:softHyphen/>
        <w:t>tion of the kingdom, was under the direct government of the see of Rome. The territory stood in 1859 as in the annexed table.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With the exception of Benevento, surrounded by the Nea</w:t>
        <w:softHyphen/>
        <w:t xml:space="preserve">politan province of Principato Ulteriore, and the small state of Pontecorvo, enclosed within the Terra di Lavoro, the States of the Church formed a compact territory, bounded on the N.W. by the Lombardo-Venetian kingdom, on the N.E. by the Adriatic, on the S.E. by the kingdom of Naples, on the S.W. by the Mediterranean, and on the W. by the grand-duchy of Tuscany and the duchy of Modena. On the Adriatic the coast extended 140 m. from the mouth of the Tronto (Truentus) to the southern mouth of the Po, and on the Tyrrhenian Sea 130 m. from 41° 20' to 42° </w:t>
      </w:r>
      <w:r>
        <w:rPr>
          <w:i/>
          <w:iCs/>
          <w:color w:val="000000"/>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 xml:space="preserve"> N. lat.</w:t>
      </w:r>
    </w:p>
    <w:tbl>
      <w:tblPr>
        <w:tblOverlap w:val="never"/>
        <w:jc w:val="left"/>
        <w:tblLayout w:type="fixed"/>
      </w:tblPr>
      <w:tblGrid>
        <w:gridCol w:w="266"/>
        <w:gridCol w:w="2214"/>
        <w:gridCol w:w="1166"/>
        <w:gridCol w:w="1049"/>
      </w:tblGrid>
      <w:tr>
        <w:trPr>
          <w:trHeight w:val="468"/>
        </w:trPr>
        <w:tc>
          <w:tcPr>
            <w:gridSpan w:val="2"/>
            <w:tcBorders>
              <w:top w:val="single" w:sz="4"/>
              <w:left w:val="single" w:sz="4"/>
            </w:tcBorders>
            <w:shd w:val="clear" w:color="auto" w:fill="FAF6DC"/>
            <w:vAlign w:val="top"/>
          </w:tcPr>
          <w:p>
            <w:pPr>
              <w:widowControl w:val="0"/>
              <w:rPr>
                <w:sz w:val="10"/>
                <w:szCs w:val="10"/>
              </w:rPr>
            </w:pPr>
          </w:p>
        </w:tc>
        <w:tc>
          <w:tcPr>
            <w:tcBorders>
              <w:top w:val="single" w:sz="4"/>
              <w:left w:val="single" w:sz="4"/>
            </w:tcBorders>
            <w:shd w:val="clear" w:color="auto" w:fill="FAF6DC"/>
            <w:vAlign w:val="bottom"/>
          </w:tcPr>
          <w:p>
            <w:pPr>
              <w:pStyle w:val="Style8"/>
              <w:keepNext w:val="0"/>
              <w:keepLines w:val="0"/>
              <w:widowControl w:val="0"/>
              <w:shd w:val="clear" w:color="auto" w:fill="auto"/>
              <w:bidi w:val="0"/>
              <w:spacing w:line="178" w:lineRule="auto"/>
              <w:ind w:left="0" w:firstLine="0"/>
              <w:jc w:val="left"/>
              <w:rPr>
                <w:sz w:val="17"/>
                <w:szCs w:val="17"/>
              </w:rPr>
            </w:pPr>
            <w:r>
              <w:rPr>
                <w:color w:val="000000"/>
                <w:spacing w:val="0"/>
                <w:w w:val="100"/>
                <w:position w:val="0"/>
                <w:sz w:val="17"/>
                <w:szCs w:val="17"/>
                <w:shd w:val="clear" w:color="auto" w:fill="auto"/>
                <w:lang w:val="en-US" w:eastAsia="en-US" w:bidi="en-US"/>
              </w:rPr>
              <w:t>Area in English sq. m.</w:t>
            </w:r>
          </w:p>
        </w:tc>
        <w:tc>
          <w:tcPr>
            <w:tcBorders>
              <w:top w:val="single" w:sz="4"/>
              <w:left w:val="single" w:sz="4"/>
              <w:right w:val="single" w:sz="4"/>
            </w:tcBorders>
            <w:shd w:val="clear" w:color="auto" w:fill="FAF6DC"/>
            <w:vAlign w:val="bottom"/>
          </w:tcPr>
          <w:p>
            <w:pPr>
              <w:pStyle w:val="Style8"/>
              <w:keepNext w:val="0"/>
              <w:keepLines w:val="0"/>
              <w:widowControl w:val="0"/>
              <w:shd w:val="clear" w:color="auto" w:fill="auto"/>
              <w:bidi w:val="0"/>
              <w:spacing w:line="178" w:lineRule="auto"/>
              <w:ind w:left="0" w:firstLine="0"/>
              <w:jc w:val="left"/>
              <w:rPr>
                <w:sz w:val="17"/>
                <w:szCs w:val="17"/>
              </w:rPr>
            </w:pPr>
            <w:r>
              <w:rPr>
                <w:color w:val="000000"/>
                <w:spacing w:val="0"/>
                <w:w w:val="100"/>
                <w:position w:val="0"/>
                <w:sz w:val="17"/>
                <w:szCs w:val="17"/>
                <w:shd w:val="clear" w:color="auto" w:fill="auto"/>
                <w:lang w:val="en-US" w:eastAsia="en-US" w:bidi="en-US"/>
              </w:rPr>
              <w:t>Population in 1853.</w:t>
            </w:r>
          </w:p>
        </w:tc>
      </w:tr>
      <w:tr>
        <w:trPr>
          <w:trHeight w:val="221"/>
        </w:trPr>
        <w:tc>
          <w:tcPr>
            <w:gridSpan w:val="2"/>
            <w:tcBorders>
              <w:top w:val="single" w:sz="4"/>
              <w:left w:val="single" w:sz="4"/>
            </w:tcBorders>
            <w:shd w:val="clear" w:color="auto" w:fill="FAF6DC"/>
            <w:vAlign w:val="bottom"/>
          </w:tcPr>
          <w:p>
            <w:pPr>
              <w:pStyle w:val="Style8"/>
              <w:keepNext w:val="0"/>
              <w:keepLines w:val="0"/>
              <w:widowControl w:val="0"/>
              <w:shd w:val="clear" w:color="auto" w:fill="auto"/>
              <w:tabs>
                <w:tab w:leader="dot" w:pos="229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Comarca of Rome</w:t>
              <w:tab/>
            </w:r>
          </w:p>
        </w:tc>
        <w:tc>
          <w:tcPr>
            <w:tcBorders>
              <w:top w:val="single" w:sz="4"/>
              <w:left w:val="single" w:sz="4"/>
            </w:tcBorders>
            <w:shd w:val="clear" w:color="auto" w:fill="FAF6DC"/>
            <w:vAlign w:val="bottom"/>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1752·8</w:t>
            </w:r>
          </w:p>
        </w:tc>
        <w:tc>
          <w:tcPr>
            <w:tcBorders>
              <w:top w:val="single" w:sz="4"/>
              <w:left w:val="single" w:sz="4"/>
              <w:right w:val="single" w:sz="4"/>
            </w:tcBorders>
            <w:shd w:val="clear" w:color="auto" w:fill="FAF6DC"/>
            <w:vAlign w:val="bottom"/>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326,509</w:t>
            </w:r>
          </w:p>
        </w:tc>
      </w:tr>
      <w:tr>
        <w:trPr>
          <w:trHeight w:val="158"/>
        </w:trPr>
        <w:tc>
          <w:tcPr>
            <w:tcBorders>
              <w:left w:val="single" w:sz="4"/>
            </w:tcBorders>
            <w:shd w:val="clear" w:color="auto" w:fill="FAF6DC"/>
            <w:vAlign w:val="top"/>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Legations</w:t>
            </w:r>
          </w:p>
        </w:tc>
        <w:tc>
          <w:tcPr>
            <w:tcBorders>
              <w:left w:val="single" w:sz="4"/>
            </w:tcBorders>
            <w:shd w:val="clear" w:color="auto" w:fill="FAF6DC"/>
            <w:vAlign w:val="top"/>
          </w:tcPr>
          <w:p>
            <w:pPr>
              <w:pStyle w:val="Style8"/>
              <w:keepNext w:val="0"/>
              <w:keepLines w:val="0"/>
              <w:widowControl w:val="0"/>
              <w:shd w:val="clear" w:color="auto" w:fill="auto"/>
              <w:tabs>
                <w:tab w:leader="dot" w:pos="2088"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Bologna</w:t>
              <w:tab/>
            </w:r>
          </w:p>
        </w:tc>
        <w:tc>
          <w:tcPr>
            <w:tcBorders>
              <w:left w:val="single" w:sz="4"/>
            </w:tcBorders>
            <w:shd w:val="clear" w:color="auto" w:fill="FAF6DC"/>
            <w:vAlign w:val="top"/>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1359∙2</w:t>
            </w:r>
          </w:p>
        </w:tc>
        <w:tc>
          <w:tcPr>
            <w:tcBorders>
              <w:left w:val="single" w:sz="4"/>
              <w:right w:val="single" w:sz="4"/>
            </w:tcBorders>
            <w:shd w:val="clear" w:color="auto" w:fill="FAF6DC"/>
            <w:vAlign w:val="top"/>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375.631</w:t>
            </w:r>
          </w:p>
        </w:tc>
      </w:tr>
      <w:tr>
        <w:trPr>
          <w:trHeight w:val="140"/>
        </w:trPr>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top"/>
          </w:tcPr>
          <w:p>
            <w:pPr>
              <w:pStyle w:val="Style8"/>
              <w:keepNext w:val="0"/>
              <w:keepLines w:val="0"/>
              <w:widowControl w:val="0"/>
              <w:shd w:val="clear" w:color="auto" w:fill="auto"/>
              <w:tabs>
                <w:tab w:leader="dot" w:pos="2034"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Ferrara</w:t>
              <w:tab/>
            </w:r>
          </w:p>
        </w:tc>
        <w:tc>
          <w:tcPr>
            <w:tcBorders>
              <w:left w:val="single" w:sz="4"/>
            </w:tcBorders>
            <w:shd w:val="clear" w:color="auto" w:fill="FAF6DC"/>
            <w:vAlign w:val="top"/>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1094∙0</w:t>
            </w:r>
          </w:p>
        </w:tc>
        <w:tc>
          <w:tcPr>
            <w:tcBorders>
              <w:left w:val="single" w:sz="4"/>
              <w:right w:val="single" w:sz="4"/>
            </w:tcBorders>
            <w:shd w:val="clear" w:color="auto" w:fill="FAF6DC"/>
            <w:vAlign w:val="top"/>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244·524</w:t>
            </w:r>
          </w:p>
        </w:tc>
      </w:tr>
      <w:tr>
        <w:trPr>
          <w:trHeight w:val="140"/>
        </w:trPr>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top"/>
          </w:tcPr>
          <w:p>
            <w:pPr>
              <w:pStyle w:val="Style8"/>
              <w:keepNext w:val="0"/>
              <w:keepLines w:val="0"/>
              <w:widowControl w:val="0"/>
              <w:shd w:val="clear" w:color="auto" w:fill="auto"/>
              <w:tabs>
                <w:tab w:leader="dot" w:pos="2039"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Forlì</w:t>
              <w:tab/>
            </w:r>
          </w:p>
        </w:tc>
        <w:tc>
          <w:tcPr>
            <w:tcBorders>
              <w:left w:val="single" w:sz="4"/>
            </w:tcBorders>
            <w:shd w:val="clear" w:color="auto" w:fill="FAF6DC"/>
            <w:vAlign w:val="top"/>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718∙8</w:t>
            </w:r>
          </w:p>
        </w:tc>
        <w:tc>
          <w:tcPr>
            <w:tcBorders>
              <w:left w:val="single" w:sz="4"/>
              <w:right w:val="single" w:sz="4"/>
            </w:tcBorders>
            <w:shd w:val="clear" w:color="auto" w:fill="FAF6DC"/>
            <w:vAlign w:val="top"/>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218,433</w:t>
            </w:r>
          </w:p>
        </w:tc>
      </w:tr>
      <w:tr>
        <w:trPr>
          <w:trHeight w:val="149"/>
        </w:trPr>
        <w:tc>
          <w:tcPr>
            <w:tcBorders>
              <w:left w:val="single" w:sz="4"/>
            </w:tcBorders>
            <w:shd w:val="clear" w:color="auto" w:fill="FAF6DC"/>
            <w:vAlign w:val="bottom"/>
          </w:tcPr>
          <w:p>
            <w:pPr>
              <w:widowControl w:val="0"/>
              <w:rPr>
                <w:sz w:val="10"/>
                <w:szCs w:val="10"/>
              </w:rPr>
            </w:pPr>
          </w:p>
        </w:tc>
        <w:tc>
          <w:tcPr>
            <w:tcBorders>
              <w:left w:val="single" w:sz="4"/>
            </w:tcBorders>
            <w:shd w:val="clear" w:color="auto" w:fill="FAF6DC"/>
            <w:vAlign w:val="bottom"/>
          </w:tcPr>
          <w:p>
            <w:pPr>
              <w:pStyle w:val="Style8"/>
              <w:keepNext w:val="0"/>
              <w:keepLines w:val="0"/>
              <w:widowControl w:val="0"/>
              <w:shd w:val="clear" w:color="auto" w:fill="auto"/>
              <w:tabs>
                <w:tab w:leader="dot" w:pos="2030"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Ravenna </w:t>
              <w:tab/>
            </w:r>
          </w:p>
        </w:tc>
        <w:tc>
          <w:tcPr>
            <w:tcBorders>
              <w:left w:val="single" w:sz="4"/>
            </w:tcBorders>
            <w:shd w:val="clear" w:color="auto" w:fill="FAF6DC"/>
            <w:vAlign w:val="bottom"/>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701·5</w:t>
            </w:r>
          </w:p>
        </w:tc>
        <w:tc>
          <w:tcPr>
            <w:tcBorders>
              <w:left w:val="single" w:sz="4"/>
              <w:right w:val="single" w:sz="4"/>
            </w:tcBorders>
            <w:shd w:val="clear" w:color="auto" w:fill="FAF6DC"/>
            <w:vAlign w:val="bottom"/>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175·994</w:t>
            </w:r>
          </w:p>
        </w:tc>
      </w:tr>
      <w:tr>
        <w:trPr>
          <w:trHeight w:val="144"/>
        </w:trPr>
        <w:tc>
          <w:tcPr>
            <w:tcBorders>
              <w:left w:val="single" w:sz="4"/>
            </w:tcBorders>
            <w:shd w:val="clear" w:color="auto" w:fill="FAF6DC"/>
            <w:vAlign w:val="bottom"/>
          </w:tcPr>
          <w:p>
            <w:pPr>
              <w:widowControl w:val="0"/>
              <w:rPr>
                <w:sz w:val="10"/>
                <w:szCs w:val="10"/>
              </w:rPr>
            </w:pPr>
          </w:p>
        </w:tc>
        <w:tc>
          <w:tcPr>
            <w:tcBorders>
              <w:left w:val="single" w:sz="4"/>
            </w:tcBorders>
            <w:shd w:val="clear" w:color="auto" w:fill="FAF6DC"/>
            <w:vAlign w:val="bottom"/>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Urbino, with Pesaro .</w:t>
            </w:r>
          </w:p>
        </w:tc>
        <w:tc>
          <w:tcPr>
            <w:tcBorders>
              <w:left w:val="single" w:sz="4"/>
            </w:tcBorders>
            <w:shd w:val="clear" w:color="auto" w:fill="FAF6DC"/>
            <w:vAlign w:val="bottom"/>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1414∙6</w:t>
            </w:r>
          </w:p>
        </w:tc>
        <w:tc>
          <w:tcPr>
            <w:tcBorders>
              <w:left w:val="single" w:sz="4"/>
              <w:right w:val="single" w:sz="4"/>
            </w:tcBorders>
            <w:shd w:val="clear" w:color="auto" w:fill="FAF6DC"/>
            <w:vAlign w:val="bottom"/>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257·751</w:t>
            </w:r>
          </w:p>
        </w:tc>
      </w:tr>
      <w:tr>
        <w:trPr>
          <w:trHeight w:val="149"/>
        </w:trPr>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top"/>
          </w:tcPr>
          <w:p>
            <w:pPr>
              <w:pStyle w:val="Style8"/>
              <w:keepNext w:val="0"/>
              <w:keepLines w:val="0"/>
              <w:widowControl w:val="0"/>
              <w:shd w:val="clear" w:color="auto" w:fill="auto"/>
              <w:tabs>
                <w:tab w:leader="dot" w:pos="2079"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Velletri</w:t>
              <w:tab/>
            </w:r>
          </w:p>
        </w:tc>
        <w:tc>
          <w:tcPr>
            <w:tcBorders>
              <w:left w:val="single" w:sz="4"/>
            </w:tcBorders>
            <w:shd w:val="clear" w:color="auto" w:fill="FAF6DC"/>
            <w:vAlign w:val="top"/>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571·3</w:t>
            </w:r>
          </w:p>
        </w:tc>
        <w:tc>
          <w:tcPr>
            <w:tcBorders>
              <w:left w:val="single" w:sz="4"/>
              <w:right w:val="single" w:sz="4"/>
            </w:tcBorders>
            <w:shd w:val="clear" w:color="auto" w:fill="FAF6DC"/>
            <w:vAlign w:val="top"/>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62,013</w:t>
            </w:r>
          </w:p>
        </w:tc>
      </w:tr>
      <w:tr>
        <w:trPr>
          <w:trHeight w:val="144"/>
        </w:trPr>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top"/>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Ancona</w:t>
            </w:r>
          </w:p>
        </w:tc>
        <w:tc>
          <w:tcPr>
            <w:tcBorders>
              <w:left w:val="single" w:sz="4"/>
            </w:tcBorders>
            <w:shd w:val="clear" w:color="auto" w:fill="FAF6DC"/>
            <w:vAlign w:val="top"/>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441·8</w:t>
            </w:r>
          </w:p>
        </w:tc>
        <w:tc>
          <w:tcPr>
            <w:tcBorders>
              <w:left w:val="single" w:sz="4"/>
              <w:right w:val="single" w:sz="4"/>
            </w:tcBorders>
            <w:shd w:val="clear" w:color="auto" w:fill="FAF6DC"/>
            <w:vAlign w:val="top"/>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176,519</w:t>
            </w:r>
          </w:p>
        </w:tc>
      </w:tr>
      <w:tr>
        <w:trPr>
          <w:trHeight w:val="144"/>
        </w:trPr>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bottom"/>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Macerata ...</w:t>
            </w:r>
          </w:p>
        </w:tc>
        <w:tc>
          <w:tcPr>
            <w:tcBorders>
              <w:left w:val="single" w:sz="4"/>
            </w:tcBorders>
            <w:shd w:val="clear" w:color="auto" w:fill="FAF6DC"/>
            <w:vAlign w:val="bottom"/>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895∙0</w:t>
            </w:r>
          </w:p>
        </w:tc>
        <w:tc>
          <w:tcPr>
            <w:tcBorders>
              <w:left w:val="single" w:sz="4"/>
              <w:right w:val="single" w:sz="4"/>
            </w:tcBorders>
            <w:shd w:val="clear" w:color="auto" w:fill="FAF6DC"/>
            <w:vAlign w:val="bottom"/>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243,104</w:t>
            </w:r>
          </w:p>
        </w:tc>
      </w:tr>
      <w:tr>
        <w:trPr>
          <w:trHeight w:val="153"/>
        </w:trPr>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bottom"/>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Camerino ....</w:t>
            </w:r>
          </w:p>
        </w:tc>
        <w:tc>
          <w:tcPr>
            <w:tcBorders>
              <w:left w:val="single" w:sz="4"/>
            </w:tcBorders>
            <w:shd w:val="clear" w:color="auto" w:fill="FAF6DC"/>
            <w:vAlign w:val="bottom"/>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320∙0</w:t>
            </w:r>
          </w:p>
        </w:tc>
        <w:tc>
          <w:tcPr>
            <w:tcBorders>
              <w:left w:val="single" w:sz="4"/>
              <w:right w:val="single" w:sz="4"/>
            </w:tcBorders>
            <w:shd w:val="clear" w:color="auto" w:fill="FAF6DC"/>
            <w:vAlign w:val="bottom"/>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42,991</w:t>
            </w:r>
          </w:p>
        </w:tc>
      </w:tr>
      <w:tr>
        <w:trPr>
          <w:trHeight w:val="140"/>
        </w:trPr>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bottom"/>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Fermo</w:t>
            </w:r>
          </w:p>
        </w:tc>
        <w:tc>
          <w:tcPr>
            <w:tcBorders>
              <w:left w:val="single" w:sz="4"/>
            </w:tcBorders>
            <w:shd w:val="clear" w:color="auto" w:fill="FAF6DC"/>
            <w:vAlign w:val="bottom"/>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335·7</w:t>
            </w:r>
          </w:p>
        </w:tc>
        <w:tc>
          <w:tcPr>
            <w:tcBorders>
              <w:left w:val="single" w:sz="4"/>
              <w:right w:val="single" w:sz="4"/>
            </w:tcBorders>
            <w:shd w:val="clear" w:color="auto" w:fill="FAF6DC"/>
            <w:vAlign w:val="bottom"/>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110,321</w:t>
            </w:r>
          </w:p>
        </w:tc>
      </w:tr>
      <w:tr>
        <w:trPr>
          <w:trHeight w:val="153"/>
        </w:trPr>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top"/>
          </w:tcPr>
          <w:p>
            <w:pPr>
              <w:pStyle w:val="Style8"/>
              <w:keepNext w:val="0"/>
              <w:keepLines w:val="0"/>
              <w:widowControl w:val="0"/>
              <w:shd w:val="clear" w:color="auto" w:fill="auto"/>
              <w:tabs>
                <w:tab w:pos="824" w:val="left"/>
                <w:tab w:leader="dot" w:pos="203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Ascoli.</w:t>
              <w:tab/>
              <w:tab/>
            </w:r>
          </w:p>
        </w:tc>
        <w:tc>
          <w:tcPr>
            <w:tcBorders>
              <w:left w:val="single" w:sz="4"/>
            </w:tcBorders>
            <w:shd w:val="clear" w:color="auto" w:fill="FAF6DC"/>
            <w:vAlign w:val="top"/>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476·3</w:t>
            </w:r>
          </w:p>
        </w:tc>
        <w:tc>
          <w:tcPr>
            <w:tcBorders>
              <w:left w:val="single" w:sz="4"/>
              <w:right w:val="single" w:sz="4"/>
            </w:tcBorders>
            <w:shd w:val="clear" w:color="auto" w:fill="FAF6DC"/>
            <w:vAlign w:val="top"/>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91.916</w:t>
            </w:r>
          </w:p>
        </w:tc>
      </w:tr>
      <w:tr>
        <w:trPr>
          <w:trHeight w:val="149"/>
        </w:trPr>
        <w:tc>
          <w:tcPr>
            <w:tcBorders>
              <w:left w:val="single" w:sz="4"/>
            </w:tcBorders>
            <w:shd w:val="clear" w:color="auto" w:fill="FAF6DC"/>
            <w:vAlign w:val="bottom"/>
          </w:tcPr>
          <w:p>
            <w:pPr>
              <w:widowControl w:val="0"/>
              <w:rPr>
                <w:sz w:val="10"/>
                <w:szCs w:val="10"/>
              </w:rPr>
            </w:pPr>
          </w:p>
        </w:tc>
        <w:tc>
          <w:tcPr>
            <w:tcBorders>
              <w:left w:val="single" w:sz="4"/>
            </w:tcBorders>
            <w:shd w:val="clear" w:color="auto" w:fill="FAF6DC"/>
            <w:vAlign w:val="bottom"/>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Perugia</w:t>
            </w:r>
          </w:p>
        </w:tc>
        <w:tc>
          <w:tcPr>
            <w:tcBorders>
              <w:left w:val="single" w:sz="4"/>
            </w:tcBorders>
            <w:shd w:val="clear" w:color="auto" w:fill="FAF6DC"/>
            <w:vAlign w:val="bottom"/>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1555·5</w:t>
            </w:r>
          </w:p>
        </w:tc>
        <w:tc>
          <w:tcPr>
            <w:tcBorders>
              <w:left w:val="single" w:sz="4"/>
              <w:right w:val="single" w:sz="4"/>
            </w:tcBorders>
            <w:shd w:val="clear" w:color="auto" w:fill="FAF6DC"/>
            <w:vAlign w:val="bottom"/>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234,533</w:t>
            </w:r>
          </w:p>
        </w:tc>
      </w:tr>
      <w:tr>
        <w:trPr>
          <w:trHeight w:val="149"/>
        </w:trPr>
        <w:tc>
          <w:tcPr>
            <w:tcBorders>
              <w:left w:val="single" w:sz="4"/>
            </w:tcBorders>
            <w:shd w:val="clear" w:color="auto" w:fill="FAF6DC"/>
            <w:vAlign w:val="bottom"/>
          </w:tcPr>
          <w:p>
            <w:pPr>
              <w:widowControl w:val="0"/>
              <w:rPr>
                <w:sz w:val="10"/>
                <w:szCs w:val="10"/>
              </w:rPr>
            </w:pPr>
          </w:p>
        </w:tc>
        <w:tc>
          <w:tcPr>
            <w:tcBorders>
              <w:left w:val="single" w:sz="4"/>
            </w:tcBorders>
            <w:shd w:val="clear" w:color="auto" w:fill="FAF6DC"/>
            <w:vAlign w:val="bottom"/>
          </w:tcPr>
          <w:p>
            <w:pPr>
              <w:pStyle w:val="Style8"/>
              <w:keepNext w:val="0"/>
              <w:keepLines w:val="0"/>
              <w:widowControl w:val="0"/>
              <w:shd w:val="clear" w:color="auto" w:fill="auto"/>
              <w:tabs>
                <w:tab w:pos="821" w:val="left"/>
                <w:tab w:pos="1060"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Spoleto</w:t>
              <w:tab/>
              <w:t>.</w:t>
              <w:tab/>
              <w:t>...</w:t>
            </w:r>
          </w:p>
        </w:tc>
        <w:tc>
          <w:tcPr>
            <w:tcBorders>
              <w:left w:val="single" w:sz="4"/>
            </w:tcBorders>
            <w:shd w:val="clear" w:color="auto" w:fill="FAF6DC"/>
            <w:vAlign w:val="bottom"/>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1175∙9</w:t>
            </w:r>
          </w:p>
        </w:tc>
        <w:tc>
          <w:tcPr>
            <w:tcBorders>
              <w:left w:val="single" w:sz="4"/>
              <w:right w:val="single" w:sz="4"/>
            </w:tcBorders>
            <w:shd w:val="clear" w:color="auto" w:fill="FAF6DC"/>
            <w:vAlign w:val="bottom"/>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135,029</w:t>
            </w:r>
          </w:p>
        </w:tc>
      </w:tr>
      <w:tr>
        <w:trPr>
          <w:trHeight w:val="140"/>
        </w:trPr>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top"/>
          </w:tcPr>
          <w:p>
            <w:pPr>
              <w:pStyle w:val="Style8"/>
              <w:keepNext w:val="0"/>
              <w:keepLines w:val="0"/>
              <w:widowControl w:val="0"/>
              <w:shd w:val="clear" w:color="auto" w:fill="auto"/>
              <w:tabs>
                <w:tab w:leader="dot" w:pos="2025"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Rieti</w:t>
              <w:tab/>
            </w:r>
          </w:p>
        </w:tc>
        <w:tc>
          <w:tcPr>
            <w:tcBorders>
              <w:left w:val="single" w:sz="4"/>
            </w:tcBorders>
            <w:shd w:val="clear" w:color="auto" w:fill="FAF6DC"/>
            <w:vAlign w:val="top"/>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531∙7</w:t>
            </w:r>
          </w:p>
        </w:tc>
        <w:tc>
          <w:tcPr>
            <w:tcBorders>
              <w:left w:val="single" w:sz="4"/>
              <w:right w:val="single" w:sz="4"/>
            </w:tcBorders>
            <w:shd w:val="clear" w:color="auto" w:fill="FAF6DC"/>
            <w:vAlign w:val="top"/>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73.683</w:t>
            </w:r>
          </w:p>
        </w:tc>
      </w:tr>
      <w:tr>
        <w:trPr>
          <w:trHeight w:val="140"/>
        </w:trPr>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top"/>
          </w:tcPr>
          <w:p>
            <w:pPr>
              <w:pStyle w:val="Style8"/>
              <w:keepNext w:val="0"/>
              <w:keepLines w:val="0"/>
              <w:widowControl w:val="0"/>
              <w:shd w:val="clear" w:color="auto" w:fill="auto"/>
              <w:tabs>
                <w:tab w:pos="821"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Viterbo</w:t>
              <w:tab/>
              <w:t>....</w:t>
            </w:r>
          </w:p>
        </w:tc>
        <w:tc>
          <w:tcPr>
            <w:tcBorders>
              <w:left w:val="single" w:sz="4"/>
            </w:tcBorders>
            <w:shd w:val="clear" w:color="auto" w:fill="FAF6DC"/>
            <w:vAlign w:val="top"/>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1158∙9</w:t>
            </w:r>
          </w:p>
        </w:tc>
        <w:tc>
          <w:tcPr>
            <w:tcBorders>
              <w:left w:val="single" w:sz="4"/>
              <w:right w:val="single" w:sz="4"/>
            </w:tcBorders>
            <w:shd w:val="clear" w:color="auto" w:fill="FAF6DC"/>
            <w:vAlign w:val="top"/>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128,324</w:t>
            </w:r>
          </w:p>
        </w:tc>
      </w:tr>
      <w:tr>
        <w:trPr>
          <w:trHeight w:val="149"/>
        </w:trPr>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bottom"/>
          </w:tcPr>
          <w:p>
            <w:pPr>
              <w:pStyle w:val="Style8"/>
              <w:keepNext w:val="0"/>
              <w:keepLines w:val="0"/>
              <w:widowControl w:val="0"/>
              <w:shd w:val="clear" w:color="auto" w:fill="auto"/>
              <w:tabs>
                <w:tab w:pos="826"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Orvieto</w:t>
              <w:tab/>
              <w:t>....</w:t>
            </w:r>
          </w:p>
        </w:tc>
        <w:tc>
          <w:tcPr>
            <w:tcBorders>
              <w:left w:val="single" w:sz="4"/>
            </w:tcBorders>
            <w:shd w:val="clear" w:color="auto" w:fill="FAF6DC"/>
            <w:vAlign w:val="bottom"/>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316·6</w:t>
            </w:r>
          </w:p>
        </w:tc>
        <w:tc>
          <w:tcPr>
            <w:tcBorders>
              <w:left w:val="single" w:sz="4"/>
              <w:right w:val="single" w:sz="4"/>
            </w:tcBorders>
            <w:shd w:val="clear" w:color="auto" w:fill="FAF6DC"/>
            <w:vAlign w:val="bottom"/>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29.047</w:t>
            </w:r>
          </w:p>
        </w:tc>
      </w:tr>
      <w:tr>
        <w:trPr>
          <w:trHeight w:val="140"/>
        </w:trPr>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bottom"/>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Cività Vecchia</w:t>
            </w:r>
          </w:p>
        </w:tc>
        <w:tc>
          <w:tcPr>
            <w:tcBorders>
              <w:left w:val="single" w:sz="4"/>
            </w:tcBorders>
            <w:shd w:val="clear" w:color="auto" w:fill="FAF6DC"/>
            <w:vAlign w:val="bottom"/>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380∙0</w:t>
            </w:r>
          </w:p>
        </w:tc>
        <w:tc>
          <w:tcPr>
            <w:tcBorders>
              <w:left w:val="single" w:sz="4"/>
              <w:right w:val="single" w:sz="4"/>
            </w:tcBorders>
            <w:shd w:val="clear" w:color="auto" w:fill="FAF6DC"/>
            <w:vAlign w:val="bottom"/>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20,701</w:t>
            </w:r>
          </w:p>
        </w:tc>
      </w:tr>
      <w:tr>
        <w:trPr>
          <w:trHeight w:val="153"/>
        </w:trPr>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bottom"/>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Frosinone, with Pontecorvo</w:t>
            </w:r>
          </w:p>
        </w:tc>
        <w:tc>
          <w:tcPr>
            <w:tcBorders>
              <w:left w:val="single" w:sz="4"/>
            </w:tcBorders>
            <w:shd w:val="clear" w:color="auto" w:fill="FAF6DC"/>
            <w:vAlign w:val="bottom"/>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739·9</w:t>
            </w:r>
          </w:p>
        </w:tc>
        <w:tc>
          <w:tcPr>
            <w:tcBorders>
              <w:left w:val="single" w:sz="4"/>
              <w:right w:val="single" w:sz="4"/>
            </w:tcBorders>
            <w:shd w:val="clear" w:color="auto" w:fill="FAF6DC"/>
            <w:vAlign w:val="bottom"/>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154,559</w:t>
            </w:r>
          </w:p>
        </w:tc>
      </w:tr>
      <w:tr>
        <w:trPr>
          <w:trHeight w:val="225"/>
        </w:trPr>
        <w:tc>
          <w:tcPr>
            <w:tcBorders>
              <w:left w:val="single" w:sz="4"/>
            </w:tcBorders>
            <w:shd w:val="clear" w:color="auto" w:fill="FAF6DC"/>
            <w:vAlign w:val="top"/>
          </w:tcPr>
          <w:p>
            <w:pPr>
              <w:widowControl w:val="0"/>
              <w:rPr>
                <w:sz w:val="10"/>
                <w:szCs w:val="10"/>
              </w:rPr>
            </w:pPr>
          </w:p>
        </w:tc>
        <w:tc>
          <w:tcPr>
            <w:tcBorders>
              <w:left w:val="single" w:sz="4"/>
            </w:tcBorders>
            <w:shd w:val="clear" w:color="auto" w:fill="FAF6DC"/>
            <w:vAlign w:val="top"/>
          </w:tcPr>
          <w:p>
            <w:pPr>
              <w:pStyle w:val="Style8"/>
              <w:keepNext w:val="0"/>
              <w:keepLines w:val="0"/>
              <w:widowControl w:val="0"/>
              <w:shd w:val="clear" w:color="auto" w:fill="auto"/>
              <w:tabs>
                <w:tab w:pos="1055" w:val="left"/>
                <w:tab w:leader="dot" w:pos="2030"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Benevento</w:t>
              <w:tab/>
              <w:tab/>
            </w:r>
          </w:p>
        </w:tc>
        <w:tc>
          <w:tcPr>
            <w:tcBorders>
              <w:left w:val="single" w:sz="4"/>
            </w:tcBorders>
            <w:shd w:val="clear" w:color="auto" w:fill="FAF6DC"/>
            <w:vAlign w:val="top"/>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61∙3</w:t>
            </w:r>
          </w:p>
        </w:tc>
        <w:tc>
          <w:tcPr>
            <w:tcBorders>
              <w:left w:val="single" w:sz="4"/>
              <w:right w:val="single" w:sz="4"/>
            </w:tcBorders>
            <w:shd w:val="clear" w:color="auto" w:fill="FAF6DC"/>
            <w:vAlign w:val="top"/>
          </w:tcPr>
          <w:p>
            <w:pPr>
              <w:pStyle w:val="Style8"/>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23,176</w:t>
            </w:r>
          </w:p>
        </w:tc>
      </w:tr>
      <w:tr>
        <w:trPr>
          <w:trHeight w:val="275"/>
        </w:trPr>
        <w:tc>
          <w:tcPr>
            <w:tcBorders>
              <w:left w:val="single" w:sz="4"/>
              <w:bottom w:val="single" w:sz="4"/>
            </w:tcBorders>
            <w:shd w:val="clear" w:color="auto" w:fill="FAF6DC"/>
            <w:vAlign w:val="top"/>
          </w:tcPr>
          <w:p>
            <w:pPr>
              <w:widowControl w:val="0"/>
              <w:rPr>
                <w:sz w:val="10"/>
                <w:szCs w:val="10"/>
              </w:rPr>
            </w:pPr>
          </w:p>
        </w:tc>
        <w:tc>
          <w:tcPr>
            <w:tcBorders>
              <w:bottom w:val="single" w:sz="4"/>
            </w:tcBorders>
            <w:shd w:val="clear" w:color="auto" w:fill="FAF6DC"/>
            <w:vAlign w:val="top"/>
          </w:tcPr>
          <w:p>
            <w:pPr>
              <w:widowControl w:val="0"/>
              <w:rPr>
                <w:sz w:val="10"/>
                <w:szCs w:val="10"/>
              </w:rPr>
            </w:pPr>
          </w:p>
        </w:tc>
        <w:tc>
          <w:tcPr>
            <w:tcBorders>
              <w:top w:val="single" w:sz="4"/>
              <w:left w:val="single" w:sz="4"/>
              <w:bottom w:val="single" w:sz="4"/>
            </w:tcBorders>
            <w:shd w:val="clear" w:color="auto" w:fill="FAF6DC"/>
            <w:vAlign w:val="bottom"/>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16,000∙8</w:t>
            </w:r>
          </w:p>
        </w:tc>
        <w:tc>
          <w:tcPr>
            <w:tcBorders>
              <w:top w:val="single" w:sz="4"/>
              <w:left w:val="single" w:sz="4"/>
              <w:bottom w:val="single" w:sz="4"/>
              <w:right w:val="single" w:sz="4"/>
            </w:tcBorders>
            <w:shd w:val="clear" w:color="auto" w:fill="FAF6DC"/>
            <w:vAlign w:val="bottom"/>
          </w:tcPr>
          <w:p>
            <w:pPr>
              <w:pStyle w:val="Style8"/>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3,124,758</w:t>
            </w:r>
          </w:p>
        </w:tc>
      </w:tr>
    </w:tbl>
    <w:p>
      <w:pPr>
        <w:widowControl w:val="0"/>
        <w:spacing w:after="119" w:line="1" w:lineRule="exact"/>
      </w:pP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divisions shown above were adopted on the 21st of December 1827, the legations being ruled by a cardinal and the delegations by a prelate. Previously the several districts formally recognized were </w:t>
      </w:r>
      <w:r>
        <w:rPr>
          <w:color w:val="000000"/>
          <w:spacing w:val="0"/>
          <w:w w:val="100"/>
          <w:position w:val="0"/>
          <w:shd w:val="clear" w:color="auto" w:fill="auto"/>
          <w:lang w:val="de-DE" w:eastAsia="de-DE" w:bidi="de-DE"/>
        </w:rPr>
        <w:t xml:space="preserve">Latium, </w:t>
      </w:r>
      <w:r>
        <w:rPr>
          <w:color w:val="000000"/>
          <w:spacing w:val="0"/>
          <w:w w:val="100"/>
          <w:position w:val="0"/>
          <w:shd w:val="clear" w:color="auto" w:fill="auto"/>
          <w:lang w:val="en-US" w:eastAsia="en-US" w:bidi="en-US"/>
        </w:rPr>
        <w:t>the Marittima (or sea-board) and Campagna, the patrimony of Saint Peter, the duchy of Castro, the Orvietano, the Sabina, Umbria, the Perugino, the March of Ancona, Romagna, the Bolognese, the Ferrarese, and the duchies of Benevento and of Pontecorvo. The former papal territories are now comprised within the Italian provinces of Bologna, Ferrara, Forlì, Ravenna, Pesaro and Urbino, Ancona, Macerata, Ascoli-Piceno, Perugia, Rome and Benevento.</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question of the origin of the territorial jurisdiction of the pope is treated under </w:t>
      </w:r>
      <w:r>
        <w:rPr>
          <w:smallCaps/>
          <w:color w:val="000000"/>
          <w:spacing w:val="0"/>
          <w:w w:val="100"/>
          <w:position w:val="0"/>
          <w:sz w:val="18"/>
          <w:szCs w:val="18"/>
          <w:shd w:val="clear" w:color="auto" w:fill="auto"/>
          <w:lang w:val="en-US" w:eastAsia="en-US" w:bidi="en-US"/>
        </w:rPr>
        <w:t>Papacy.</w:t>
      </w:r>
      <w:r>
        <w:rPr>
          <w:color w:val="000000"/>
          <w:spacing w:val="0"/>
          <w:w w:val="100"/>
          <w:position w:val="0"/>
          <w:sz w:val="17"/>
          <w:szCs w:val="17"/>
          <w:shd w:val="clear" w:color="auto" w:fill="auto"/>
          <w:lang w:val="en-US" w:eastAsia="en-US" w:bidi="en-US"/>
        </w:rPr>
        <w:t xml:space="preserve"> With the moral and ecclesiastical decay of the papacy in the 9th and 10th centuries much of its territorial authority slipped from its grasp; and by the middle of the 11th century its rule was not recognized beyond Rome and the immediate vicinity. By the treaty of Sutri (February 1111 ) Paschal II. was compelled by the emperor </w:t>
      </w:r>
      <w:r>
        <w:rPr>
          <w:color w:val="000000"/>
          <w:spacing w:val="0"/>
          <w:w w:val="100"/>
          <w:position w:val="0"/>
          <w:sz w:val="17"/>
          <w:szCs w:val="17"/>
          <w:shd w:val="clear" w:color="auto" w:fill="auto"/>
          <w:lang w:val="de-DE" w:eastAsia="de-DE" w:bidi="de-DE"/>
        </w:rPr>
        <w:t xml:space="preserve">Henry </w:t>
      </w:r>
      <w:r>
        <w:rPr>
          <w:color w:val="000000"/>
          <w:spacing w:val="0"/>
          <w:w w:val="100"/>
          <w:position w:val="0"/>
          <w:sz w:val="17"/>
          <w:szCs w:val="17"/>
          <w:shd w:val="clear" w:color="auto" w:fill="auto"/>
          <w:lang w:val="en-US" w:eastAsia="en-US" w:bidi="en-US"/>
        </w:rPr>
        <w:t>V. to surrender all the possessions and royalties of the Church ; but this treaty was soon afterwards repudiated, and by the will of Matilda, countess of Tuscany, the papal see was enabled to lay claim to new territories</w:t>
      </w:r>
    </w:p>
    <w:sectPr>
      <w:footnotePr>
        <w:pos w:val="pageBottom"/>
        <w:numFmt w:val="decimal"/>
        <w:numRestart w:val="continuous"/>
      </w:footnotePr>
      <w:pgSz w:w="12240" w:h="15840"/>
      <w:pgMar w:top="725" w:left="683" w:right="6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8">
    <w:name w:val="Other"/>
    <w:basedOn w:val="Normal"/>
    <w:link w:val="CharStyle9"/>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