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 the reign of his successor Æthelstan, however, they joined with the Scots and Norwegians in attempts to overthrow the English supremacy, attempts which were ended by their defeat at the battle of Brunanburh in 937. In 945-46 Strathelyde was ravaged by King Edmund and given over to the Scottish king Malcolm I. The fall of the kingdom was only temporary, for we hear of a defeat of the Scottish king Cuilean by the Britons in 971. In the 11th century Strathelyde appears to have been finally incorporated in the Scottish kingdom, and the last time we hear of one of its kings is at the battle of Carham in 1018 when the British king Owen fought in alliance with Malcolm II.</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following is a list of kings whose names are mentioned in the chronicles :—</w:t>
      </w:r>
    </w:p>
    <w:p>
      <w:pPr>
        <w:pStyle w:val="Style2"/>
        <w:keepNext w:val="0"/>
        <w:keepLines w:val="0"/>
        <w:widowControl w:val="0"/>
        <w:shd w:val="clear" w:color="auto" w:fill="auto"/>
        <w:tabs>
          <w:tab w:leader="dot" w:pos="4151" w:val="right"/>
          <w:tab w:pos="4447" w:val="right"/>
        </w:tabs>
        <w:bidi w:val="0"/>
        <w:spacing w:line="185" w:lineRule="auto"/>
        <w:ind w:left="0" w:firstLine="360"/>
        <w:jc w:val="left"/>
      </w:pPr>
      <w:r>
        <w:rPr>
          <w:color w:val="000000"/>
          <w:spacing w:val="0"/>
          <w:w w:val="100"/>
          <w:position w:val="0"/>
          <w:shd w:val="clear" w:color="auto" w:fill="auto"/>
          <w:lang w:val="en-US" w:eastAsia="en-US" w:bidi="en-US"/>
        </w:rPr>
        <w:t>Rhydderch Hen</w:t>
        <w:tab/>
        <w:t>d.</w:t>
        <w:tab/>
        <w:t>603</w:t>
      </w:r>
    </w:p>
    <w:p>
      <w:pPr>
        <w:pStyle w:val="Style2"/>
        <w:keepNext w:val="0"/>
        <w:keepLines w:val="0"/>
        <w:widowControl w:val="0"/>
        <w:shd w:val="clear" w:color="auto" w:fill="auto"/>
        <w:tabs>
          <w:tab w:leader="dot" w:pos="4447" w:val="right"/>
        </w:tabs>
        <w:bidi w:val="0"/>
        <w:spacing w:line="185" w:lineRule="auto"/>
        <w:ind w:left="0" w:firstLine="360"/>
        <w:jc w:val="left"/>
      </w:pPr>
      <w:r>
        <w:rPr>
          <w:color w:val="000000"/>
          <w:spacing w:val="0"/>
          <w:w w:val="100"/>
          <w:position w:val="0"/>
          <w:shd w:val="clear" w:color="auto" w:fill="auto"/>
          <w:lang w:val="en-US" w:eastAsia="en-US" w:bidi="en-US"/>
        </w:rPr>
        <w:t>Constantine son of Rhydderch (?)</w:t>
        <w:tab/>
        <w:t xml:space="preserve"> —</w:t>
      </w:r>
    </w:p>
    <w:p>
      <w:pPr>
        <w:pStyle w:val="Style2"/>
        <w:keepNext w:val="0"/>
        <w:keepLines w:val="0"/>
        <w:widowControl w:val="0"/>
        <w:shd w:val="clear" w:color="auto" w:fill="auto"/>
        <w:tabs>
          <w:tab w:leader="dot" w:pos="4151" w:val="right"/>
          <w:tab w:pos="4447" w:val="right"/>
        </w:tabs>
        <w:bidi w:val="0"/>
        <w:spacing w:line="185" w:lineRule="auto"/>
        <w:ind w:left="0" w:firstLine="360"/>
        <w:jc w:val="left"/>
      </w:pPr>
      <w:r>
        <w:rPr>
          <w:color w:val="000000"/>
          <w:spacing w:val="0"/>
          <w:w w:val="100"/>
          <w:position w:val="0"/>
          <w:shd w:val="clear" w:color="auto" w:fill="auto"/>
          <w:lang w:val="en-US" w:eastAsia="en-US" w:bidi="en-US"/>
        </w:rPr>
        <w:t>Iudruis (?)</w:t>
        <w:tab/>
        <w:t>d.</w:t>
        <w:tab/>
        <w:t>633</w:t>
      </w:r>
    </w:p>
    <w:p>
      <w:pPr>
        <w:pStyle w:val="Style2"/>
        <w:keepNext w:val="0"/>
        <w:keepLines w:val="0"/>
        <w:widowControl w:val="0"/>
        <w:shd w:val="clear" w:color="auto" w:fill="auto"/>
        <w:tabs>
          <w:tab w:leader="dot" w:pos="4151" w:val="right"/>
          <w:tab w:pos="4447" w:val="right"/>
        </w:tabs>
        <w:bidi w:val="0"/>
        <w:spacing w:line="185" w:lineRule="auto"/>
        <w:ind w:left="0" w:firstLine="360"/>
        <w:jc w:val="left"/>
      </w:pPr>
      <w:r>
        <w:rPr>
          <w:color w:val="000000"/>
          <w:spacing w:val="0"/>
          <w:w w:val="100"/>
          <w:position w:val="0"/>
          <w:shd w:val="clear" w:color="auto" w:fill="auto"/>
          <w:lang w:val="en-US" w:eastAsia="en-US" w:bidi="en-US"/>
        </w:rPr>
        <w:t>Owain (Eugein)</w:t>
        <w:tab/>
        <w:t>d.</w:t>
        <w:tab/>
        <w:t>642</w:t>
      </w:r>
    </w:p>
    <w:p>
      <w:pPr>
        <w:pStyle w:val="Style2"/>
        <w:keepNext w:val="0"/>
        <w:keepLines w:val="0"/>
        <w:widowControl w:val="0"/>
        <w:shd w:val="clear" w:color="auto" w:fill="auto"/>
        <w:tabs>
          <w:tab w:leader="dot" w:pos="2646" w:val="left"/>
          <w:tab w:leader="dot" w:pos="4151" w:val="right"/>
          <w:tab w:pos="4298" w:val="left"/>
        </w:tabs>
        <w:bidi w:val="0"/>
        <w:spacing w:line="185" w:lineRule="auto"/>
        <w:ind w:left="0" w:firstLine="360"/>
        <w:jc w:val="left"/>
      </w:pPr>
      <w:r>
        <w:rPr>
          <w:color w:val="000000"/>
          <w:spacing w:val="0"/>
          <w:w w:val="100"/>
          <w:position w:val="0"/>
          <w:shd w:val="clear" w:color="auto" w:fill="auto"/>
          <w:lang w:val="en-US" w:eastAsia="en-US" w:bidi="en-US"/>
        </w:rPr>
        <w:t>Gwraid (Gureit)</w:t>
        <w:tab/>
        <w:t>.</w:t>
        <w:tab/>
        <w:t>d.</w:t>
        <w:tab/>
        <w:t>658</w:t>
      </w:r>
    </w:p>
    <w:p>
      <w:pPr>
        <w:pStyle w:val="Style2"/>
        <w:keepNext w:val="0"/>
        <w:keepLines w:val="0"/>
        <w:widowControl w:val="0"/>
        <w:shd w:val="clear" w:color="auto" w:fill="auto"/>
        <w:tabs>
          <w:tab w:pos="2255" w:val="center"/>
        </w:tabs>
        <w:bidi w:val="0"/>
        <w:spacing w:line="185" w:lineRule="auto"/>
        <w:ind w:left="0" w:firstLine="360"/>
        <w:jc w:val="left"/>
      </w:pPr>
      <w:r>
        <w:rPr>
          <w:color w:val="000000"/>
          <w:spacing w:val="0"/>
          <w:w w:val="100"/>
          <w:position w:val="0"/>
          <w:shd w:val="clear" w:color="auto" w:fill="auto"/>
          <w:lang w:val="en-US" w:eastAsia="en-US" w:bidi="en-US"/>
        </w:rPr>
        <w:t xml:space="preserve">Dyfnwal </w:t>
      </w:r>
      <w:r>
        <w:rPr>
          <w:color w:val="000000"/>
          <w:spacing w:val="0"/>
          <w:w w:val="100"/>
          <w:position w:val="0"/>
          <w:shd w:val="clear" w:color="auto" w:fill="auto"/>
          <w:lang w:val="de-DE" w:eastAsia="de-DE" w:bidi="de-DE"/>
        </w:rPr>
        <w:t xml:space="preserve">(Domhnall), </w:t>
      </w:r>
      <w:r>
        <w:rPr>
          <w:color w:val="000000"/>
          <w:spacing w:val="0"/>
          <w:w w:val="100"/>
          <w:position w:val="0"/>
          <w:shd w:val="clear" w:color="auto" w:fill="auto"/>
          <w:lang w:val="en-US" w:eastAsia="en-US" w:bidi="en-US"/>
        </w:rPr>
        <w:t>son</w:t>
        <w:tab/>
        <w:t>of Owain .... d. 694</w:t>
      </w:r>
    </w:p>
    <w:p>
      <w:pPr>
        <w:pStyle w:val="Style2"/>
        <w:keepNext w:val="0"/>
        <w:keepLines w:val="0"/>
        <w:widowControl w:val="0"/>
        <w:shd w:val="clear" w:color="auto" w:fill="auto"/>
        <w:tabs>
          <w:tab w:leader="dot" w:pos="4151" w:val="right"/>
          <w:tab w:pos="4447" w:val="right"/>
        </w:tabs>
        <w:bidi w:val="0"/>
        <w:spacing w:line="185" w:lineRule="auto"/>
        <w:ind w:left="0" w:firstLine="360"/>
        <w:jc w:val="left"/>
      </w:pPr>
      <w:r>
        <w:rPr>
          <w:color w:val="000000"/>
          <w:spacing w:val="0"/>
          <w:w w:val="100"/>
          <w:position w:val="0"/>
          <w:shd w:val="clear" w:color="auto" w:fill="auto"/>
          <w:lang w:val="en-US" w:eastAsia="en-US" w:bidi="en-US"/>
        </w:rPr>
        <w:t>Beli, son of Elphin</w:t>
        <w:tab/>
        <w:t>d.</w:t>
        <w:tab/>
        <w:t>722</w:t>
      </w:r>
    </w:p>
    <w:p>
      <w:pPr>
        <w:pStyle w:val="Style2"/>
        <w:keepNext w:val="0"/>
        <w:keepLines w:val="0"/>
        <w:widowControl w:val="0"/>
        <w:shd w:val="clear" w:color="auto" w:fill="auto"/>
        <w:tabs>
          <w:tab w:pos="2175" w:val="center"/>
          <w:tab w:pos="2399" w:val="center"/>
          <w:tab w:leader="dot" w:pos="4151" w:val="right"/>
          <w:tab w:pos="4447" w:val="right"/>
        </w:tabs>
        <w:bidi w:val="0"/>
        <w:spacing w:line="185" w:lineRule="auto"/>
        <w:ind w:left="0" w:firstLine="360"/>
        <w:jc w:val="left"/>
      </w:pPr>
      <w:r>
        <w:rPr>
          <w:color w:val="000000"/>
          <w:spacing w:val="0"/>
          <w:w w:val="100"/>
          <w:position w:val="0"/>
          <w:shd w:val="clear" w:color="auto" w:fill="auto"/>
          <w:lang w:val="en-US" w:eastAsia="en-US" w:bidi="en-US"/>
        </w:rPr>
        <w:t>Tewdwr (Teudubr), son</w:t>
        <w:tab/>
        <w:t>of</w:t>
        <w:tab/>
        <w:t xml:space="preserve"> Beli</w:t>
        <w:tab/>
        <w:t>d.</w:t>
        <w:tab/>
        <w:t>750</w:t>
      </w:r>
    </w:p>
    <w:p>
      <w:pPr>
        <w:pStyle w:val="Style2"/>
        <w:keepNext w:val="0"/>
        <w:keepLines w:val="0"/>
        <w:widowControl w:val="0"/>
        <w:shd w:val="clear" w:color="auto" w:fill="auto"/>
        <w:tabs>
          <w:tab w:pos="3738" w:val="left"/>
        </w:tabs>
        <w:bidi w:val="0"/>
        <w:spacing w:line="185" w:lineRule="auto"/>
        <w:ind w:left="0" w:firstLine="360"/>
        <w:jc w:val="left"/>
      </w:pPr>
      <w:r>
        <w:rPr>
          <w:color w:val="000000"/>
          <w:spacing w:val="0"/>
          <w:w w:val="100"/>
          <w:position w:val="0"/>
          <w:shd w:val="clear" w:color="auto" w:fill="auto"/>
          <w:lang w:val="en-US" w:eastAsia="en-US" w:bidi="en-US"/>
        </w:rPr>
        <w:t>Dyfnwal (Dannagual), son of Tewdwr</w:t>
        <w:tab/>
        <w:t>. d. 760</w:t>
      </w:r>
    </w:p>
    <w:p>
      <w:pPr>
        <w:pStyle w:val="Style2"/>
        <w:keepNext w:val="0"/>
        <w:keepLines w:val="0"/>
        <w:widowControl w:val="0"/>
        <w:shd w:val="clear" w:color="auto" w:fill="auto"/>
        <w:tabs>
          <w:tab w:leader="dot" w:pos="3383" w:val="center"/>
          <w:tab w:pos="4447" w:val="right"/>
        </w:tabs>
        <w:bidi w:val="0"/>
        <w:spacing w:line="185" w:lineRule="auto"/>
        <w:ind w:left="0" w:firstLine="360"/>
        <w:jc w:val="left"/>
      </w:pPr>
      <w:r>
        <w:rPr>
          <w:color w:val="000000"/>
          <w:spacing w:val="0"/>
          <w:w w:val="100"/>
          <w:position w:val="0"/>
          <w:shd w:val="clear" w:color="auto" w:fill="auto"/>
          <w:lang w:val="en-US" w:eastAsia="en-US" w:bidi="en-US"/>
        </w:rPr>
        <w:t>Cynan, son of Ruadrach</w:t>
        <w:tab/>
        <w:t>d.</w:t>
        <w:tab/>
        <w:t>816</w:t>
      </w:r>
    </w:p>
    <w:p>
      <w:pPr>
        <w:pStyle w:val="Style2"/>
        <w:keepNext w:val="0"/>
        <w:keepLines w:val="0"/>
        <w:widowControl w:val="0"/>
        <w:shd w:val="clear" w:color="auto" w:fill="auto"/>
        <w:tabs>
          <w:tab w:leader="dot" w:pos="3383" w:val="center"/>
          <w:tab w:pos="4447" w:val="right"/>
        </w:tabs>
        <w:bidi w:val="0"/>
        <w:spacing w:line="185" w:lineRule="auto"/>
        <w:ind w:left="0" w:firstLine="360"/>
        <w:jc w:val="left"/>
      </w:pPr>
      <w:r>
        <w:rPr>
          <w:color w:val="000000"/>
          <w:spacing w:val="0"/>
          <w:w w:val="100"/>
          <w:position w:val="0"/>
          <w:shd w:val="clear" w:color="auto" w:fill="auto"/>
          <w:lang w:val="en-US" w:eastAsia="en-US" w:bidi="en-US"/>
        </w:rPr>
        <w:t>Artgha</w:t>
        <w:tab/>
        <w:t>d.</w:t>
        <w:tab/>
        <w:t>872</w:t>
      </w:r>
    </w:p>
    <w:p>
      <w:pPr>
        <w:pStyle w:val="Style2"/>
        <w:keepNext w:val="0"/>
        <w:keepLines w:val="0"/>
        <w:widowControl w:val="0"/>
        <w:shd w:val="clear" w:color="auto" w:fill="auto"/>
        <w:tabs>
          <w:tab w:leader="dot" w:pos="3675" w:val="right"/>
          <w:tab w:pos="3817" w:val="left"/>
        </w:tabs>
        <w:bidi w:val="0"/>
        <w:spacing w:line="185" w:lineRule="auto"/>
        <w:ind w:left="0" w:firstLine="360"/>
        <w:jc w:val="left"/>
      </w:pPr>
      <w:r>
        <w:rPr>
          <w:color w:val="000000"/>
          <w:spacing w:val="0"/>
          <w:w w:val="100"/>
          <w:position w:val="0"/>
          <w:shd w:val="clear" w:color="auto" w:fill="auto"/>
          <w:lang w:val="en-US" w:eastAsia="en-US" w:bidi="en-US"/>
        </w:rPr>
        <w:t>Run, son of Artgha</w:t>
        <w:tab/>
        <w:t>d.</w:t>
        <w:tab/>
        <w:t>before 878 (?)</w:t>
      </w:r>
    </w:p>
    <w:p>
      <w:pPr>
        <w:pStyle w:val="Style2"/>
        <w:keepNext w:val="0"/>
        <w:keepLines w:val="0"/>
        <w:widowControl w:val="0"/>
        <w:shd w:val="clear" w:color="auto" w:fill="auto"/>
        <w:tabs>
          <w:tab w:leader="dot" w:pos="3383" w:val="center"/>
          <w:tab w:pos="4447" w:val="right"/>
        </w:tabs>
        <w:bidi w:val="0"/>
        <w:spacing w:line="185" w:lineRule="auto"/>
        <w:ind w:left="0" w:firstLine="360"/>
        <w:jc w:val="left"/>
      </w:pPr>
      <w:r>
        <w:rPr>
          <w:color w:val="000000"/>
          <w:spacing w:val="0"/>
          <w:w w:val="100"/>
          <w:position w:val="0"/>
          <w:shd w:val="clear" w:color="auto" w:fill="auto"/>
          <w:lang w:val="en-US" w:eastAsia="en-US" w:bidi="en-US"/>
        </w:rPr>
        <w:t>Dyfnwal (Donevaldus)</w:t>
        <w:tab/>
        <w:t>d.</w:t>
        <w:tab/>
        <w:t>908</w:t>
      </w:r>
    </w:p>
    <w:p>
      <w:pPr>
        <w:pStyle w:val="Style2"/>
        <w:keepNext w:val="0"/>
        <w:keepLines w:val="0"/>
        <w:widowControl w:val="0"/>
        <w:shd w:val="clear" w:color="auto" w:fill="auto"/>
        <w:tabs>
          <w:tab w:pos="3383" w:val="center"/>
          <w:tab w:pos="4447" w:val="right"/>
        </w:tabs>
        <w:bidi w:val="0"/>
        <w:spacing w:line="185" w:lineRule="auto"/>
        <w:ind w:left="0" w:firstLine="360"/>
        <w:jc w:val="left"/>
      </w:pPr>
      <w:r>
        <w:rPr>
          <w:color w:val="000000"/>
          <w:spacing w:val="0"/>
          <w:w w:val="100"/>
          <w:position w:val="0"/>
          <w:shd w:val="clear" w:color="auto" w:fill="auto"/>
          <w:lang w:val="en-US" w:eastAsia="en-US" w:bidi="en-US"/>
        </w:rPr>
        <w:t>Dyfnwal (Donevaldus), son of Ede</w:t>
        <w:tab/>
        <w:t>(Acdh) Owain</w:t>
        <w:tab/>
        <w:t>d. 934</w:t>
      </w:r>
    </w:p>
    <w:p>
      <w:pPr>
        <w:pStyle w:val="Style2"/>
        <w:keepNext w:val="0"/>
        <w:keepLines w:val="0"/>
        <w:widowControl w:val="0"/>
        <w:shd w:val="clear" w:color="auto" w:fill="auto"/>
        <w:tabs>
          <w:tab w:pos="4447" w:val="right"/>
        </w:tabs>
        <w:bidi w:val="0"/>
        <w:spacing w:line="185" w:lineRule="auto"/>
        <w:ind w:left="0" w:firstLine="360"/>
        <w:jc w:val="left"/>
      </w:pPr>
      <w:r>
        <w:rPr>
          <w:color w:val="000000"/>
          <w:spacing w:val="0"/>
          <w:w w:val="100"/>
          <w:position w:val="0"/>
          <w:shd w:val="clear" w:color="auto" w:fill="auto"/>
          <w:lang w:val="en-US" w:eastAsia="en-US" w:bidi="en-US"/>
        </w:rPr>
        <w:t xml:space="preserve">Dyfnwal </w:t>
      </w:r>
      <w:r>
        <w:rPr>
          <w:color w:val="000000"/>
          <w:spacing w:val="0"/>
          <w:w w:val="100"/>
          <w:position w:val="0"/>
          <w:shd w:val="clear" w:color="auto" w:fill="auto"/>
          <w:lang w:val="de-DE" w:eastAsia="de-DE" w:bidi="de-DE"/>
        </w:rPr>
        <w:t xml:space="preserve">(Domhnall), </w:t>
      </w:r>
      <w:r>
        <w:rPr>
          <w:color w:val="000000"/>
          <w:spacing w:val="0"/>
          <w:w w:val="100"/>
          <w:position w:val="0"/>
          <w:shd w:val="clear" w:color="auto" w:fill="auto"/>
          <w:lang w:val="en-US" w:eastAsia="en-US" w:bidi="en-US"/>
        </w:rPr>
        <w:t>son of Eoghain (on pilgrimage)</w:t>
        <w:tab/>
        <w:t>d. 975</w:t>
      </w:r>
    </w:p>
    <w:p>
      <w:pPr>
        <w:pStyle w:val="Style2"/>
        <w:keepNext w:val="0"/>
        <w:keepLines w:val="0"/>
        <w:widowControl w:val="0"/>
        <w:shd w:val="clear" w:color="auto" w:fill="auto"/>
        <w:tabs>
          <w:tab w:leader="dot" w:pos="3383" w:val="center"/>
          <w:tab w:pos="4447" w:val="right"/>
        </w:tabs>
        <w:bidi w:val="0"/>
        <w:spacing w:line="185" w:lineRule="auto"/>
        <w:ind w:left="0" w:firstLine="360"/>
        <w:jc w:val="left"/>
      </w:pPr>
      <w:r>
        <w:rPr>
          <w:color w:val="000000"/>
          <w:spacing w:val="0"/>
          <w:w w:val="100"/>
          <w:position w:val="0"/>
          <w:shd w:val="clear" w:color="auto" w:fill="auto"/>
          <w:lang w:val="en-US" w:eastAsia="en-US" w:bidi="en-US"/>
        </w:rPr>
        <w:t>Malcolm, son of Dyfnwal</w:t>
        <w:tab/>
        <w:t>d.</w:t>
        <w:tab/>
        <w:t>997</w:t>
      </w:r>
    </w:p>
    <w:p>
      <w:pPr>
        <w:pStyle w:val="Style2"/>
        <w:keepNext w:val="0"/>
        <w:keepLines w:val="0"/>
        <w:widowControl w:val="0"/>
        <w:shd w:val="clear" w:color="auto" w:fill="auto"/>
        <w:tabs>
          <w:tab w:leader="dot" w:pos="4447" w:val="right"/>
        </w:tabs>
        <w:bidi w:val="0"/>
        <w:spacing w:line="185" w:lineRule="auto"/>
        <w:ind w:left="0" w:firstLine="360"/>
        <w:jc w:val="left"/>
      </w:pPr>
      <w:r>
        <w:rPr>
          <w:color w:val="000000"/>
          <w:spacing w:val="0"/>
          <w:w w:val="100"/>
          <w:position w:val="0"/>
          <w:shd w:val="clear" w:color="auto" w:fill="auto"/>
          <w:lang w:val="en-US" w:eastAsia="en-US" w:bidi="en-US"/>
        </w:rPr>
        <w:t>Owain (Eugenius)</w:t>
        <w:tab/>
        <w:t xml:space="preserve"> 1018</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Chronicles of the Picts and Scots,</w:t>
      </w:r>
      <w:r>
        <w:rPr>
          <w:color w:val="000000"/>
          <w:spacing w:val="0"/>
          <w:w w:val="100"/>
          <w:position w:val="0"/>
          <w:shd w:val="clear" w:color="auto" w:fill="auto"/>
          <w:lang w:val="en-US" w:eastAsia="en-US" w:bidi="en-US"/>
        </w:rPr>
        <w:t xml:space="preserve"> edited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F. Skene (Edinburgh, 1867);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F. Skene, </w:t>
      </w:r>
      <w:r>
        <w:rPr>
          <w:i/>
          <w:iCs/>
          <w:color w:val="000000"/>
          <w:spacing w:val="0"/>
          <w:w w:val="100"/>
          <w:position w:val="0"/>
          <w:shd w:val="clear" w:color="auto" w:fill="auto"/>
          <w:lang w:val="en-US" w:eastAsia="en-US" w:bidi="en-US"/>
        </w:rPr>
        <w:t>Celtic Scotland</w:t>
      </w:r>
      <w:r>
        <w:rPr>
          <w:color w:val="000000"/>
          <w:spacing w:val="0"/>
          <w:w w:val="100"/>
          <w:position w:val="0"/>
          <w:shd w:val="clear" w:color="auto" w:fill="auto"/>
          <w:lang w:val="en-US" w:eastAsia="en-US" w:bidi="en-US"/>
        </w:rPr>
        <w:t xml:space="preserve"> (Edinburgh, 1876); and Sir John Rhys, </w:t>
      </w:r>
      <w:r>
        <w:rPr>
          <w:i/>
          <w:iCs/>
          <w:color w:val="000000"/>
          <w:spacing w:val="0"/>
          <w:w w:val="100"/>
          <w:position w:val="0"/>
          <w:shd w:val="clear" w:color="auto" w:fill="auto"/>
          <w:lang w:val="en-US" w:eastAsia="en-US" w:bidi="en-US"/>
        </w:rPr>
        <w:t>Celtic Britain</w:t>
      </w:r>
      <w:r>
        <w:rPr>
          <w:color w:val="000000"/>
          <w:spacing w:val="0"/>
          <w:w w:val="100"/>
          <w:position w:val="0"/>
          <w:shd w:val="clear" w:color="auto" w:fill="auto"/>
          <w:lang w:val="en-US" w:eastAsia="en-US" w:bidi="en-US"/>
        </w:rPr>
        <w:t xml:space="preserve"> (London, 1904).</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(F. G. Μ. B.)</w:t>
      </w:r>
    </w:p>
    <w:p>
      <w:pPr>
        <w:pStyle w:val="Style2"/>
        <w:keepNext w:val="0"/>
        <w:keepLines w:val="0"/>
        <w:widowControl w:val="0"/>
        <w:shd w:val="clear" w:color="auto" w:fill="auto"/>
        <w:tabs>
          <w:tab w:pos="2646"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STRAtheONA AND MOUNT ROYAL, DONALD ALEX</w:t>
        <w:softHyphen/>
        <w:t xml:space="preserve">ANDER SMITH, </w:t>
      </w:r>
      <w:r>
        <w:rPr>
          <w:smallCaps/>
          <w:color w:val="000000"/>
          <w:spacing w:val="0"/>
          <w:w w:val="100"/>
          <w:position w:val="0"/>
          <w:shd w:val="clear" w:color="auto" w:fill="auto"/>
          <w:lang w:val="en-US" w:eastAsia="en-US" w:bidi="en-US"/>
        </w:rPr>
        <w:t>Baron</w:t>
      </w:r>
      <w:r>
        <w:rPr>
          <w:color w:val="000000"/>
          <w:spacing w:val="0"/>
          <w:w w:val="100"/>
          <w:position w:val="0"/>
          <w:shd w:val="clear" w:color="auto" w:fill="auto"/>
          <w:lang w:val="en-US" w:eastAsia="en-US" w:bidi="en-US"/>
        </w:rPr>
        <w:t xml:space="preserve"> (1820-</w:t>
        <w:tab/>
        <w:t>), Canadian statesman and</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financier, was born at Forres, Scotland, on the 6th of August 1820, the second son of Alexander Smith (d. 1850), a Highland merchant. His mother, Barbara Stewart, of Abernethy, was the sister of John Stewart (d. 1847), a famous fur trader in the Canadian North-West, who gave his name to Stewart Lake and Stewart river. Through him Donald Smith was appointed in 1838 a junior clerk in the Hudson’s Bay Company, which at that time controlled the greater part of what is now the Dominion of Canada. Smith was sent to Labrador, and stationed at Hamilton Inlet. For thirteen years he roughed it there, mastering the work of the fur trade, introducing various improvements into the conditions of life, being the first to prove that potatoes and other vegetables could be grown with success on that bleak coast, and varying his business routine with much reading and letter-writing. Then he was for ten years on Hudson Bay, rising in the company’s service to be a chief trader and then a chief factor. In 1868 he was appointed to the post of resident governor, with headquarters at Montreal. In the next year Louis Riel’s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re</w:t>
        <w:softHyphen/>
        <w:t>bellion broke out on the Red river, caused chiefly by the transfer of territorial rights from the company to the Dominion of Canada, and in December Smith was sent by the Canadian govern</w:t>
        <w:softHyphen/>
        <w:t xml:space="preserve">ment with wide powers as special commissioner to endeavour to check the rebellion, and to report "on the best mode of quieting and removing such discontent and dissatisfaction.” On arriving at Fort Garry (now Winnipeg) he advised the government that it would be necessary to send troops; in the meanwhile he kept cool in face of a very ugly situation, and it was largely owing to his tact and diplomacy that the lives of the numerous prisoners were saved, that Riel’s position was gradually undermined and that the relief expedition under Colonel (afterwards Lord) Wolseley had no fighting to do. Apart from the rebellion, there was difficulty with the company’s traders. The company’s control over the North-West was to be surrendered to Canada for £300,000, certain grants of lands and certain trading privileges, and the traders on the spot feared that in the distribution of the money their rights might not be guarded, but Smith succeeded in persuading them to trust him to secure their share, and asserted their claims so effectually that £107,000 was paid to them. During these complications in the North-West he occupied for a time the position of acting governor: in December 1870, on the </w:t>
      </w:r>
      <w:r>
        <w:rPr>
          <w:color w:val="000000"/>
          <w:spacing w:val="0"/>
          <w:w w:val="100"/>
          <w:position w:val="0"/>
          <w:shd w:val="clear" w:color="auto" w:fill="auto"/>
          <w:lang w:val="en-US" w:eastAsia="en-US" w:bidi="en-US"/>
        </w:rPr>
        <w:t>first election to the legislative assembly of the new province of Manitoba, he was returned for Winnipeg; and in March 1871, after a very bitter contest, he was elected as one of the four Manitoba representatives to the Dominion House of Commons, as member for Selkirk. The reorganization of the Hudson’s Bay Company in 1871—involving the loss of its administrative func</w:t>
        <w:softHyphen/>
        <w:t>tions and its restriction to questions of trade only—made it necessary to appoint a chief commissioner for the North-West, and in 1871 Smith received the appointment when in London, after his championship of the claims of the local traders. At Ottawa he at once became the spokesman of the new territories, though for a time subject to the suspicion of those who thought that the company had done too little to assist the Canadian government against Riel, and he was frequently attacked in parliament and out of it on various charges. In 1872 he became one of the original members of the first North-West council under the' act providing for the government of the territories by the lieutenant-governor of Manitoba and a council of eleven.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It was at this time that the construction of the Canadian Pacific railway became a practical question. The terms of the entrance of British Columbia into the Dominion in 1871 included a stipulation for the immediate beginning of a railway from the Pacific towards the Rocky Mountains, and from a point to he selected east of the Rockies towards the Pacific; this line, connecting the Pacific seaboard with eastern Canada, was to be completed within ten years from the date of union. After a controversy on the merits of private or government construction, in 1872 a charter was given by Sir John Macdonald’s government to a company, with Sir Hugh Allan at its head, for the construction of the line, with a subsidy in land grants and money, but in 1873 disclosures of corrupt practices in relation to this charter (the so-called Pacific Scandal) led to the fall of the government, and the company was soon afterwards dissolved. In the great debate which ended in the resignation of the govern</w:t>
        <w:softHyphen/>
        <w:t>ment, one of the chief causes of its downfall was a moderate but powerful speech by Smith, which led to a temporary estrange</w:t>
        <w:softHyphen/>
        <w:t>ment between him and Macdonald. The Liberal government which came into power early in 1874 reverted, though timidly, to the policy of government ownership.</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Meanwhile Donald Smith, together with his cousin Mr George Stephen (afterwards Lord Mountstephen), and other Canadian and American financiers, had bought out the Dutch bondholders of the insolvent St Paul &amp; Pacific railway, an American line, which by 1873 had been completed from St Paul to Breckenridge, but which lacked funds to proceed farther. After long negotia</w:t>
        <w:softHyphen/>
        <w:t>tions the new owners persuaded the government of Manitoba to build a line from Winnipeg to Pembina on the American frontier. This done, in 1879 the partners formed the St Paul, Minneapolis &amp; Manitoba Railway Company, and by continuing the line from Breckenridge to Pembina united Manitoba with the south and west.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18 78 the Liberal party was defeated, and Sir John Macdonald returned to office with the support of Smith, who had been driven to rejoin the Conservatives by the over-cautious railway policy of the Liberals. In 1880 the new government made a contract for building the railway with a syndicate of which Stephen was the chief director, and in which Smith, from the first largely interested, came more and more to the front. Both were prominent directors of the Bank of Montreal, and employed its resources in the work without hesitation. Smith also embarked in the work the whole of his private fortune, and it was his dogged perseverance which more than anything else enabled the company to bring its work to a successful conclusion. The contract allowed ten years for the completion of the line, but such energy was shown that on the 7th of November 1885, at Craigellachie in the Rocky Mountains, Donald Smith drove home the last spike of the first Canadian transcontinental railway. In 1882 he left parliament, but re</w:t>
        <w:softHyphen/>
        <w:t>turned to it in 1887, and represented Montreal West till 1896, when he was appointed to succeed Sir Charles Tupper in London as high commissioner for Canada. In that year he was made G.C.M.G.; in 1897 he was raised to the peerage and in 1909 made G.C.V.O. In 1889 he became governor of the Hudson’s Bay</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