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both"/>
      </w:pPr>
      <w:r>
        <w:rPr>
          <w:color w:val="000000"/>
          <w:spacing w:val="0"/>
          <w:w w:val="100"/>
          <w:position w:val="0"/>
          <w:shd w:val="clear" w:color="auto" w:fill="auto"/>
          <w:lang w:val="en-US" w:eastAsia="en-US" w:bidi="en-US"/>
        </w:rPr>
        <w:t>who have found work elsewhere or been replaced by others. Though this figure is the best general index of the importance of the disputes of each year, it is but a rough approximation to the time actually lost through disputes.</w:t>
      </w:r>
    </w:p>
    <w:tbl>
      <w:tblPr>
        <w:tblOverlap w:val="never"/>
        <w:jc w:val="left"/>
        <w:tblLayout w:type="fixed"/>
      </w:tblPr>
      <w:tblGrid>
        <w:gridCol w:w="657"/>
        <w:gridCol w:w="3510"/>
        <w:gridCol w:w="1049"/>
        <w:gridCol w:w="1130"/>
        <w:gridCol w:w="810"/>
        <w:gridCol w:w="1053"/>
        <w:gridCol w:w="1121"/>
      </w:tblGrid>
      <w:tr>
        <w:trPr>
          <w:trHeight w:val="275"/>
        </w:trPr>
        <w:tc>
          <w:tcPr>
            <w:vMerge w:val="restart"/>
            <w:tcBorders>
              <w:top w:val="single" w:sz="4"/>
              <w:left w:val="single" w:sz="4"/>
            </w:tcBorders>
            <w:shd w:val="clear" w:color="auto" w:fill="FBF8DE"/>
            <w:vAlign w:val="center"/>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Year.</w:t>
            </w:r>
          </w:p>
        </w:tc>
        <w:tc>
          <w:tcPr>
            <w:gridSpan w:val="3"/>
            <w:tcBorders>
              <w:top w:val="single" w:sz="4"/>
              <w:lef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Principal Disputes of the Year.</w:t>
            </w:r>
          </w:p>
        </w:tc>
        <w:tc>
          <w:tcPr>
            <w:gridSpan w:val="3"/>
            <w:tcBorders>
              <w:top w:val="single" w:sz="4"/>
              <w:left w:val="single" w:sz="4"/>
              <w:righ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All other Disputes.</w:t>
            </w:r>
          </w:p>
        </w:tc>
      </w:tr>
      <w:tr>
        <w:trPr>
          <w:trHeight w:val="590"/>
        </w:trPr>
        <w:tc>
          <w:tcPr>
            <w:vMerge/>
            <w:tcBorders>
              <w:left w:val="single" w:sz="4"/>
            </w:tcBorders>
            <w:shd w:val="clear" w:color="auto" w:fill="FBF8DE"/>
            <w:vAlign w:val="center"/>
          </w:tcPr>
          <w:p>
            <w:pPr/>
          </w:p>
        </w:tc>
        <w:tc>
          <w:tcPr>
            <w:tcBorders>
              <w:top w:val="single" w:sz="4"/>
              <w:left w:val="single" w:sz="4"/>
            </w:tcBorders>
            <w:shd w:val="clear" w:color="auto" w:fill="FBF8DE"/>
            <w:vAlign w:val="center"/>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Trade and Locality.</w:t>
            </w:r>
          </w:p>
        </w:tc>
        <w:tc>
          <w:tcPr>
            <w:tcBorders>
              <w:top w:val="single" w:sz="4"/>
              <w:left w:val="single" w:sz="4"/>
            </w:tcBorders>
            <w:shd w:val="clear" w:color="auto" w:fill="FBF8DE"/>
            <w:vAlign w:val="top"/>
          </w:tcPr>
          <w:p>
            <w:pPr>
              <w:pStyle w:val="Style4"/>
              <w:keepNext w:val="0"/>
              <w:keepLines w:val="0"/>
              <w:widowControl w:val="0"/>
              <w:shd w:val="clear" w:color="auto" w:fill="auto"/>
              <w:bidi w:val="0"/>
              <w:spacing w:line="194" w:lineRule="auto"/>
              <w:ind w:left="0" w:firstLine="0"/>
              <w:jc w:val="left"/>
              <w:rPr>
                <w:sz w:val="16"/>
                <w:szCs w:val="16"/>
              </w:rPr>
            </w:pPr>
            <w:r>
              <w:rPr>
                <w:color w:val="000000"/>
                <w:spacing w:val="0"/>
                <w:w w:val="100"/>
                <w:position w:val="0"/>
                <w:sz w:val="16"/>
                <w:szCs w:val="16"/>
                <w:shd w:val="clear" w:color="auto" w:fill="auto"/>
                <w:lang w:val="en-US" w:eastAsia="en-US" w:bidi="en-US"/>
              </w:rPr>
              <w:t>Number of Work-people affected.</w:t>
            </w:r>
          </w:p>
        </w:tc>
        <w:tc>
          <w:tcPr>
            <w:tcBorders>
              <w:top w:val="single" w:sz="4"/>
              <w:left w:val="single" w:sz="4"/>
            </w:tcBorders>
            <w:shd w:val="clear" w:color="auto" w:fill="FBF8DE"/>
            <w:vAlign w:val="top"/>
          </w:tcPr>
          <w:p>
            <w:pPr>
              <w:pStyle w:val="Style4"/>
              <w:keepNext w:val="0"/>
              <w:keepLines w:val="0"/>
              <w:widowControl w:val="0"/>
              <w:shd w:val="clear" w:color="auto" w:fill="auto"/>
              <w:bidi w:val="0"/>
              <w:spacing w:line="187" w:lineRule="auto"/>
              <w:ind w:left="0" w:firstLine="0"/>
              <w:jc w:val="left"/>
              <w:rPr>
                <w:sz w:val="16"/>
                <w:szCs w:val="16"/>
              </w:rPr>
            </w:pPr>
            <w:r>
              <w:rPr>
                <w:color w:val="000000"/>
                <w:spacing w:val="0"/>
                <w:w w:val="100"/>
                <w:position w:val="0"/>
                <w:sz w:val="16"/>
                <w:szCs w:val="16"/>
                <w:shd w:val="clear" w:color="auto" w:fill="auto"/>
                <w:lang w:val="en-US" w:eastAsia="en-US" w:bidi="en-US"/>
              </w:rPr>
              <w:t>Aggregate Duration in Working Days.</w:t>
            </w:r>
          </w:p>
        </w:tc>
        <w:tc>
          <w:tcPr>
            <w:tcBorders>
              <w:top w:val="single" w:sz="4"/>
              <w:left w:val="single" w:sz="4"/>
            </w:tcBorders>
            <w:shd w:val="clear" w:color="auto" w:fill="FBF8DE"/>
            <w:vAlign w:val="top"/>
          </w:tcPr>
          <w:p>
            <w:pPr>
              <w:pStyle w:val="Style4"/>
              <w:keepNext w:val="0"/>
              <w:keepLines w:val="0"/>
              <w:widowControl w:val="0"/>
              <w:shd w:val="clear" w:color="auto" w:fill="auto"/>
              <w:bidi w:val="0"/>
              <w:spacing w:line="194" w:lineRule="auto"/>
              <w:ind w:left="0" w:firstLine="0"/>
              <w:jc w:val="left"/>
              <w:rPr>
                <w:sz w:val="16"/>
                <w:szCs w:val="16"/>
              </w:rPr>
            </w:pPr>
            <w:r>
              <w:rPr>
                <w:color w:val="000000"/>
                <w:spacing w:val="0"/>
                <w:w w:val="100"/>
                <w:position w:val="0"/>
                <w:sz w:val="16"/>
                <w:szCs w:val="16"/>
                <w:shd w:val="clear" w:color="auto" w:fill="auto"/>
                <w:lang w:val="en-US" w:eastAsia="en-US" w:bidi="en-US"/>
              </w:rPr>
              <w:t>Number of Disputes.</w:t>
            </w:r>
          </w:p>
        </w:tc>
        <w:tc>
          <w:tcPr>
            <w:tcBorders>
              <w:top w:val="single" w:sz="4"/>
              <w:left w:val="single" w:sz="4"/>
            </w:tcBorders>
            <w:shd w:val="clear" w:color="auto" w:fill="FBF8DE"/>
            <w:vAlign w:val="top"/>
          </w:tcPr>
          <w:p>
            <w:pPr>
              <w:pStyle w:val="Style4"/>
              <w:keepNext w:val="0"/>
              <w:keepLines w:val="0"/>
              <w:widowControl w:val="0"/>
              <w:shd w:val="clear" w:color="auto" w:fill="auto"/>
              <w:bidi w:val="0"/>
              <w:spacing w:line="194" w:lineRule="auto"/>
              <w:ind w:left="0" w:firstLine="0"/>
              <w:jc w:val="left"/>
              <w:rPr>
                <w:sz w:val="16"/>
                <w:szCs w:val="16"/>
              </w:rPr>
            </w:pPr>
            <w:r>
              <w:rPr>
                <w:color w:val="000000"/>
                <w:spacing w:val="0"/>
                <w:w w:val="100"/>
                <w:position w:val="0"/>
                <w:sz w:val="16"/>
                <w:szCs w:val="16"/>
                <w:shd w:val="clear" w:color="auto" w:fill="auto"/>
                <w:lang w:val="en-US" w:eastAsia="en-US" w:bidi="en-US"/>
              </w:rPr>
              <w:t>Number of</w:t>
            </w:r>
          </w:p>
          <w:p>
            <w:pPr>
              <w:pStyle w:val="Style4"/>
              <w:keepNext w:val="0"/>
              <w:keepLines w:val="0"/>
              <w:widowControl w:val="0"/>
              <w:shd w:val="clear" w:color="auto" w:fill="auto"/>
              <w:bidi w:val="0"/>
              <w:spacing w:line="194" w:lineRule="auto"/>
              <w:ind w:left="0" w:firstLine="0"/>
              <w:jc w:val="left"/>
              <w:rPr>
                <w:sz w:val="16"/>
                <w:szCs w:val="16"/>
              </w:rPr>
            </w:pPr>
            <w:r>
              <w:rPr>
                <w:color w:val="000000"/>
                <w:spacing w:val="0"/>
                <w:w w:val="100"/>
                <w:position w:val="0"/>
                <w:sz w:val="16"/>
                <w:szCs w:val="16"/>
                <w:shd w:val="clear" w:color="auto" w:fill="auto"/>
                <w:lang w:val="en-US" w:eastAsia="en-US" w:bidi="en-US"/>
              </w:rPr>
              <w:t>Work-people affected.</w:t>
            </w:r>
          </w:p>
        </w:tc>
        <w:tc>
          <w:tcPr>
            <w:tcBorders>
              <w:top w:val="single" w:sz="4"/>
              <w:left w:val="single" w:sz="4"/>
              <w:right w:val="single" w:sz="4"/>
            </w:tcBorders>
            <w:shd w:val="clear" w:color="auto" w:fill="FBF8DE"/>
            <w:vAlign w:val="top"/>
          </w:tcPr>
          <w:p>
            <w:pPr>
              <w:pStyle w:val="Style4"/>
              <w:keepNext w:val="0"/>
              <w:keepLines w:val="0"/>
              <w:widowControl w:val="0"/>
              <w:shd w:val="clear" w:color="auto" w:fill="auto"/>
              <w:bidi w:val="0"/>
              <w:spacing w:line="187" w:lineRule="auto"/>
              <w:ind w:left="0" w:firstLine="0"/>
              <w:jc w:val="left"/>
              <w:rPr>
                <w:sz w:val="16"/>
                <w:szCs w:val="16"/>
              </w:rPr>
            </w:pPr>
            <w:r>
              <w:rPr>
                <w:color w:val="000000"/>
                <w:spacing w:val="0"/>
                <w:w w:val="100"/>
                <w:position w:val="0"/>
                <w:sz w:val="16"/>
                <w:szCs w:val="16"/>
                <w:shd w:val="clear" w:color="auto" w:fill="auto"/>
                <w:lang w:val="en-US" w:eastAsia="en-US" w:bidi="en-US"/>
              </w:rPr>
              <w:t>Aggregate</w:t>
            </w:r>
          </w:p>
          <w:p>
            <w:pPr>
              <w:pStyle w:val="Style4"/>
              <w:keepNext w:val="0"/>
              <w:keepLines w:val="0"/>
              <w:widowControl w:val="0"/>
              <w:shd w:val="clear" w:color="auto" w:fill="auto"/>
              <w:bidi w:val="0"/>
              <w:spacing w:line="187" w:lineRule="auto"/>
              <w:ind w:left="0" w:firstLine="0"/>
              <w:jc w:val="left"/>
              <w:rPr>
                <w:sz w:val="16"/>
                <w:szCs w:val="16"/>
              </w:rPr>
            </w:pPr>
            <w:r>
              <w:rPr>
                <w:color w:val="000000"/>
                <w:spacing w:val="0"/>
                <w:w w:val="100"/>
                <w:position w:val="0"/>
                <w:sz w:val="16"/>
                <w:szCs w:val="16"/>
                <w:shd w:val="clear" w:color="auto" w:fill="auto"/>
                <w:lang w:val="en-US" w:eastAsia="en-US" w:bidi="en-US"/>
              </w:rPr>
              <w:t>Duration in Working Days.</w:t>
            </w:r>
          </w:p>
        </w:tc>
      </w:tr>
      <w:tr>
        <w:trPr>
          <w:trHeight w:val="212"/>
        </w:trPr>
        <w:tc>
          <w:tcPr>
            <w:vMerge w:val="restart"/>
            <w:tcBorders>
              <w:top w:val="single" w:sz="4"/>
              <w:left w:val="single" w:sz="4"/>
            </w:tcBorders>
            <w:shd w:val="clear" w:color="auto" w:fill="FBF8DE"/>
            <w:vAlign w:val="bottom"/>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1893</w:t>
            </w:r>
          </w:p>
        </w:tc>
        <w:tc>
          <w:tcPr>
            <w:tcBorders>
              <w:top w:val="single" w:sz="4"/>
              <w:left w:val="single" w:sz="4"/>
            </w:tcBorders>
            <w:shd w:val="clear" w:color="auto" w:fill="FBF8DE"/>
            <w:vAlign w:val="bottom"/>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Coal Miners (Federated Districts) ....</w:t>
            </w:r>
          </w:p>
        </w:tc>
        <w:tc>
          <w:tcPr>
            <w:tcBorders>
              <w:top w:val="single" w:sz="4"/>
              <w:left w:val="single" w:sz="4"/>
            </w:tcBorders>
            <w:shd w:val="clear" w:color="auto" w:fill="FBF8DE"/>
            <w:vAlign w:val="bottom"/>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300,000</w:t>
            </w:r>
          </w:p>
        </w:tc>
        <w:tc>
          <w:tcPr>
            <w:tcBorders>
              <w:top w:val="single" w:sz="4"/>
              <w:left w:val="single" w:sz="4"/>
            </w:tcBorders>
            <w:shd w:val="clear" w:color="auto" w:fill="FBF8DE"/>
            <w:vAlign w:val="bottom"/>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21,137,000</w:t>
            </w:r>
          </w:p>
        </w:tc>
        <w:tc>
          <w:tcPr>
            <w:vMerge w:val="restart"/>
            <w:tcBorders>
              <w:top w:val="single" w:sz="4"/>
              <w:left w:val="single" w:sz="4"/>
            </w:tcBorders>
            <w:shd w:val="clear" w:color="auto" w:fill="FBF8DE"/>
            <w:vAlign w:val="bottom"/>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613</w:t>
            </w:r>
          </w:p>
        </w:tc>
        <w:tc>
          <w:tcPr>
            <w:tcBorders>
              <w:top w:val="single" w:sz="4"/>
              <w:left w:val="single" w:sz="4"/>
            </w:tcBorders>
            <w:shd w:val="clear" w:color="auto" w:fill="FBF8DE"/>
            <w:vAlign w:val="top"/>
          </w:tcPr>
          <w:p>
            <w:pPr>
              <w:widowControl w:val="0"/>
              <w:rPr>
                <w:sz w:val="10"/>
                <w:szCs w:val="10"/>
              </w:rPr>
            </w:pPr>
          </w:p>
        </w:tc>
        <w:tc>
          <w:tcPr>
            <w:vMerge w:val="restart"/>
            <w:tcBorders>
              <w:top w:val="single" w:sz="4"/>
              <w:left w:val="single" w:sz="4"/>
              <w:right w:val="single" w:sz="4"/>
            </w:tcBorders>
            <w:shd w:val="clear" w:color="auto" w:fill="FBF8DE"/>
            <w:vAlign w:val="bottom"/>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7.830.765</w:t>
            </w:r>
          </w:p>
        </w:tc>
      </w:tr>
      <w:tr>
        <w:trPr>
          <w:trHeight w:val="153"/>
        </w:trPr>
        <w:tc>
          <w:tcPr>
            <w:vMerge/>
            <w:tcBorders>
              <w:left w:val="single" w:sz="4"/>
            </w:tcBorders>
            <w:shd w:val="clear" w:color="auto" w:fill="FBF8DE"/>
            <w:vAlign w:val="bottom"/>
          </w:tcPr>
          <w:p>
            <w:pP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Coal Miners (South Wales and Monmouth) .</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90,000</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1,500,000</w:t>
            </w:r>
          </w:p>
        </w:tc>
        <w:tc>
          <w:tcPr>
            <w:vMerge/>
            <w:tcBorders>
              <w:left w:val="single" w:sz="4"/>
            </w:tcBorders>
            <w:shd w:val="clear" w:color="auto" w:fill="FBF8DE"/>
            <w:vAlign w:val="bottom"/>
          </w:tcPr>
          <w:p>
            <w:pP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244,301</w:t>
            </w:r>
          </w:p>
        </w:tc>
        <w:tc>
          <w:tcPr>
            <w:vMerge/>
            <w:tcBorders>
              <w:left w:val="single" w:sz="4"/>
              <w:right w:val="single" w:sz="4"/>
            </w:tcBorders>
            <w:shd w:val="clear" w:color="auto" w:fill="FBF8DE"/>
            <w:vAlign w:val="bottom"/>
          </w:tcPr>
          <w:p>
            <w:pPr/>
          </w:p>
        </w:tc>
      </w:tr>
      <w:tr>
        <w:trPr>
          <w:trHeight w:val="153"/>
        </w:trPr>
        <w:tc>
          <w:tcPr>
            <w:tcBorders>
              <w:left w:val="single" w:sz="4"/>
            </w:tcBorders>
            <w:shd w:val="clear" w:color="auto" w:fill="FBF8DE"/>
            <w:vAlign w:val="bottom"/>
          </w:tcPr>
          <w:p>
            <w:pPr>
              <w:pStyle w:val="Style4"/>
              <w:keepNext w:val="0"/>
              <w:keepLines w:val="0"/>
              <w:widowControl w:val="0"/>
              <w:shd w:val="clear" w:color="auto" w:fill="auto"/>
              <w:bidi w:val="0"/>
              <w:spacing w:line="240" w:lineRule="auto"/>
              <w:ind w:left="0" w:firstLine="0"/>
              <w:jc w:val="left"/>
              <w:rPr>
                <w:sz w:val="16"/>
                <w:szCs w:val="16"/>
              </w:rPr>
            </w:pPr>
            <w:r>
              <w:rPr>
                <w:color w:val="625254"/>
                <w:spacing w:val="0"/>
                <w:w w:val="100"/>
                <w:position w:val="0"/>
                <w:sz w:val="16"/>
                <w:szCs w:val="16"/>
                <w:shd w:val="clear" w:color="auto" w:fill="auto"/>
                <w:lang w:val="en-US" w:eastAsia="en-US" w:bidi="en-US"/>
              </w:rPr>
              <w:t>1894</w:t>
            </w:r>
          </w:p>
        </w:tc>
        <w:tc>
          <w:tcPr>
            <w:tcBorders>
              <w:left w:val="single" w:sz="4"/>
            </w:tcBorders>
            <w:shd w:val="clear" w:color="auto" w:fill="FBF8DE"/>
            <w:vAlign w:val="bottom"/>
          </w:tcPr>
          <w:p>
            <w:pPr>
              <w:pStyle w:val="Style4"/>
              <w:keepNext w:val="0"/>
              <w:keepLines w:val="0"/>
              <w:widowControl w:val="0"/>
              <w:shd w:val="clear" w:color="auto" w:fill="auto"/>
              <w:tabs>
                <w:tab w:leader="dot" w:pos="3378" w:val="left"/>
              </w:tabs>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Coal Miners (Scotland).</w:t>
              <w:tab/>
            </w:r>
          </w:p>
        </w:tc>
        <w:tc>
          <w:tcPr>
            <w:tcBorders>
              <w:left w:val="single" w:sz="4"/>
            </w:tcBorders>
            <w:shd w:val="clear" w:color="auto" w:fill="FBF8DE"/>
            <w:vAlign w:val="bottom"/>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70,000</w:t>
            </w:r>
          </w:p>
        </w:tc>
        <w:tc>
          <w:tcPr>
            <w:tcBorders>
              <w:left w:val="single" w:sz="4"/>
            </w:tcBorders>
            <w:shd w:val="clear" w:color="auto" w:fill="FBF8DE"/>
            <w:vAlign w:val="bottom"/>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5,600,000</w:t>
            </w:r>
          </w:p>
        </w:tc>
        <w:tc>
          <w:tcPr>
            <w:tcBorders>
              <w:left w:val="single" w:sz="4"/>
            </w:tcBorders>
            <w:shd w:val="clear" w:color="auto" w:fill="FBF8DE"/>
            <w:vAlign w:val="bottom"/>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928</w:t>
            </w:r>
          </w:p>
        </w:tc>
        <w:tc>
          <w:tcPr>
            <w:tcBorders>
              <w:left w:val="single" w:sz="4"/>
            </w:tcBorders>
            <w:shd w:val="clear" w:color="auto" w:fill="FBF8DE"/>
            <w:vAlign w:val="bottom"/>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255.248</w:t>
            </w:r>
          </w:p>
        </w:tc>
        <w:tc>
          <w:tcPr>
            <w:tcBorders>
              <w:left w:val="single" w:sz="4"/>
              <w:right w:val="single" w:sz="4"/>
            </w:tcBorders>
            <w:shd w:val="clear" w:color="auto" w:fill="FBF8DE"/>
            <w:vAlign w:val="bottom"/>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3,929,000</w:t>
            </w:r>
          </w:p>
        </w:tc>
      </w:tr>
      <w:tr>
        <w:trPr>
          <w:trHeight w:val="149"/>
        </w:trPr>
        <w:tc>
          <w:tcPr>
            <w:tcBorders>
              <w:left w:val="single" w:sz="4"/>
            </w:tcBorders>
            <w:shd w:val="clear" w:color="auto" w:fill="FBF8DE"/>
            <w:vAlign w:val="bottom"/>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1895</w:t>
            </w:r>
          </w:p>
        </w:tc>
        <w:tc>
          <w:tcPr>
            <w:tcBorders>
              <w:top w:val="single" w:sz="4"/>
              <w:left w:val="single" w:sz="4"/>
            </w:tcBorders>
            <w:shd w:val="clear" w:color="auto" w:fill="FBF8DE"/>
            <w:vAlign w:val="bottom"/>
          </w:tcPr>
          <w:p>
            <w:pPr>
              <w:pStyle w:val="Style4"/>
              <w:keepNext w:val="0"/>
              <w:keepLines w:val="0"/>
              <w:widowControl w:val="0"/>
              <w:shd w:val="clear" w:color="auto" w:fill="auto"/>
              <w:tabs>
                <w:tab w:leader="dot" w:pos="3378" w:val="left"/>
              </w:tabs>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Boot and Shoe Operatives</w:t>
              <w:tab/>
            </w:r>
          </w:p>
        </w:tc>
        <w:tc>
          <w:tcPr>
            <w:tcBorders>
              <w:left w:val="single" w:sz="4"/>
            </w:tcBorders>
            <w:shd w:val="clear" w:color="auto" w:fill="FBF8DE"/>
            <w:vAlign w:val="bottom"/>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46,000</w:t>
            </w:r>
          </w:p>
        </w:tc>
        <w:tc>
          <w:tcPr>
            <w:tcBorders>
              <w:left w:val="single" w:sz="4"/>
            </w:tcBorders>
            <w:shd w:val="clear" w:color="auto" w:fill="FBF8DE"/>
            <w:vAlign w:val="bottom"/>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1,564,000</w:t>
            </w:r>
          </w:p>
        </w:tc>
        <w:tc>
          <w:tcPr>
            <w:tcBorders>
              <w:left w:val="single" w:sz="4"/>
            </w:tcBorders>
            <w:shd w:val="clear" w:color="auto" w:fill="FBF8DE"/>
            <w:vAlign w:val="bottom"/>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744</w:t>
            </w:r>
          </w:p>
        </w:tc>
        <w:tc>
          <w:tcPr>
            <w:tcBorders>
              <w:left w:val="single" w:sz="4"/>
            </w:tcBorders>
            <w:shd w:val="clear" w:color="auto" w:fill="FBF8DE"/>
            <w:vAlign w:val="bottom"/>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217,123</w:t>
            </w:r>
          </w:p>
        </w:tc>
        <w:tc>
          <w:tcPr>
            <w:tcBorders>
              <w:left w:val="single" w:sz="4"/>
              <w:right w:val="single" w:sz="4"/>
            </w:tcBorders>
            <w:shd w:val="clear" w:color="auto" w:fill="FBF8DE"/>
            <w:vAlign w:val="bottom"/>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4,160,670</w:t>
            </w:r>
          </w:p>
        </w:tc>
      </w:tr>
      <w:tr>
        <w:trPr>
          <w:trHeight w:val="144"/>
        </w:trPr>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1897</w:t>
            </w:r>
          </w:p>
        </w:tc>
        <w:tc>
          <w:tcPr>
            <w:tcBorders>
              <w:top w:val="single" w:sz="4"/>
              <w:left w:val="single" w:sz="4"/>
            </w:tcBorders>
            <w:shd w:val="clear" w:color="auto" w:fill="FBF8DE"/>
            <w:vAlign w:val="top"/>
          </w:tcPr>
          <w:p>
            <w:pPr>
              <w:pStyle w:val="Style4"/>
              <w:keepNext w:val="0"/>
              <w:keepLines w:val="0"/>
              <w:widowControl w:val="0"/>
              <w:shd w:val="clear" w:color="auto" w:fill="auto"/>
              <w:tabs>
                <w:tab w:pos="3114" w:val="left"/>
                <w:tab w:pos="3398" w:val="left"/>
              </w:tabs>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Engineers, Maehinemen and others. .</w:t>
              <w:tab/>
              <w:tab/>
            </w:r>
          </w:p>
        </w:tc>
        <w:tc>
          <w:tcPr>
            <w:tcBorders>
              <w:left w:val="single" w:sz="4"/>
            </w:tcBorders>
            <w:shd w:val="clear" w:color="auto" w:fill="FBF8DE"/>
            <w:vAlign w:val="top"/>
          </w:tcPr>
          <w:p>
            <w:pPr>
              <w:widowControl w:val="0"/>
              <w:rPr>
                <w:sz w:val="10"/>
                <w:szCs w:val="10"/>
              </w:rPr>
            </w:pP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5731,000</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863</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182,767</w:t>
            </w:r>
          </w:p>
        </w:tc>
        <w:tc>
          <w:tcPr>
            <w:tcBorders>
              <w:left w:val="single" w:sz="4"/>
              <w:righ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4.614,523</w:t>
            </w:r>
          </w:p>
        </w:tc>
      </w:tr>
      <w:tr>
        <w:trPr>
          <w:trHeight w:val="135"/>
        </w:trPr>
        <w:tc>
          <w:tcPr>
            <w:vMerge w:val="restart"/>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1898</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Engineers, Maehinemen and others—</w:t>
            </w:r>
            <w:r>
              <w:rPr>
                <w:i/>
                <w:iCs/>
                <w:color w:val="000000"/>
                <w:spacing w:val="0"/>
                <w:w w:val="100"/>
                <w:position w:val="0"/>
                <w:sz w:val="17"/>
                <w:szCs w:val="17"/>
                <w:shd w:val="clear" w:color="auto" w:fill="auto"/>
                <w:lang w:val="en-US" w:eastAsia="en-US" w:bidi="en-US"/>
              </w:rPr>
              <w:t>continued</w:t>
            </w:r>
            <w:r>
              <w:rPr>
                <w:color w:val="000000"/>
                <w:spacing w:val="0"/>
                <w:w w:val="100"/>
                <w:position w:val="0"/>
                <w:sz w:val="16"/>
                <w:szCs w:val="16"/>
                <w:shd w:val="clear" w:color="auto" w:fill="auto"/>
                <w:lang w:val="en-US" w:eastAsia="en-US" w:bidi="en-US"/>
              </w:rPr>
              <w:t xml:space="preserve"> </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47,500</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1,118,000</w:t>
            </w:r>
          </w:p>
        </w:tc>
        <w:tc>
          <w:tcPr>
            <w:tcBorders>
              <w:left w:val="single" w:sz="4"/>
            </w:tcBorders>
            <w:shd w:val="clear" w:color="auto" w:fill="FBF8DE"/>
            <w:vAlign w:val="top"/>
          </w:tcPr>
          <w:p>
            <w:pPr>
              <w:widowControl w:val="0"/>
              <w:rPr>
                <w:sz w:val="10"/>
                <w:szCs w:val="10"/>
              </w:rPr>
            </w:pPr>
          </w:p>
        </w:tc>
        <w:tc>
          <w:tcPr>
            <w:tcBorders>
              <w:left w:val="single" w:sz="4"/>
            </w:tcBorders>
            <w:shd w:val="clear" w:color="auto" w:fill="FBF8DE"/>
            <w:vAlign w:val="top"/>
          </w:tcPr>
          <w:p>
            <w:pPr>
              <w:widowControl w:val="0"/>
              <w:rPr>
                <w:sz w:val="10"/>
                <w:szCs w:val="10"/>
              </w:rPr>
            </w:pPr>
          </w:p>
        </w:tc>
        <w:tc>
          <w:tcPr>
            <w:vMerge w:val="restart"/>
            <w:tcBorders>
              <w:left w:val="single" w:sz="4"/>
              <w:righ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2,521,478</w:t>
            </w:r>
          </w:p>
        </w:tc>
      </w:tr>
      <w:tr>
        <w:trPr>
          <w:trHeight w:val="225"/>
        </w:trPr>
        <w:tc>
          <w:tcPr>
            <w:vMerge/>
            <w:tcBorders>
              <w:left w:val="single" w:sz="4"/>
              <w:bottom w:val="single" w:sz="4"/>
            </w:tcBorders>
            <w:shd w:val="clear" w:color="auto" w:fill="FBF8DE"/>
            <w:vAlign w:val="top"/>
          </w:tcPr>
          <w:p>
            <w:pPr/>
          </w:p>
        </w:tc>
        <w:tc>
          <w:tcPr>
            <w:tcBorders>
              <w:left w:val="single" w:sz="4"/>
              <w:bottom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Coal Miners (South Wales and Monmouth) .</w:t>
            </w:r>
          </w:p>
        </w:tc>
        <w:tc>
          <w:tcPr>
            <w:tcBorders>
              <w:left w:val="single" w:sz="4"/>
              <w:bottom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100,000</w:t>
            </w:r>
          </w:p>
        </w:tc>
        <w:tc>
          <w:tcPr>
            <w:tcBorders>
              <w:left w:val="single" w:sz="4"/>
              <w:bottom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11,650,000</w:t>
            </w:r>
          </w:p>
        </w:tc>
        <w:tc>
          <w:tcPr>
            <w:tcBorders>
              <w:left w:val="single" w:sz="4"/>
              <w:bottom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710</w:t>
            </w:r>
          </w:p>
        </w:tc>
        <w:tc>
          <w:tcPr>
            <w:tcBorders>
              <w:left w:val="single" w:sz="4"/>
              <w:bottom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153,907</w:t>
            </w:r>
          </w:p>
        </w:tc>
        <w:tc>
          <w:tcPr>
            <w:vMerge/>
            <w:tcBorders>
              <w:left w:val="single" w:sz="4"/>
              <w:bottom w:val="single" w:sz="4"/>
              <w:right w:val="single" w:sz="4"/>
            </w:tcBorders>
            <w:shd w:val="clear" w:color="auto" w:fill="FBF8DE"/>
            <w:vAlign w:val="top"/>
          </w:tcPr>
          <w:p>
            <w:pPr/>
          </w:p>
        </w:tc>
      </w:tr>
    </w:tbl>
    <w:p>
      <w:pPr>
        <w:pStyle w:val="Style9"/>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For example, if a strike causes a postponement or accumulation of work, the extra demand for labour, and the overtime worked after its conclusion, may partially compensate for the stoppage. On the other hand, if a dispute should drive away trade or cause the closing of works, it may lessen the field of employment for a long period after its termination, and such lost time cannot be taken into account in the estimates of “aggregate duration.”</w:t>
      </w:r>
    </w:p>
    <w:p>
      <w:pPr>
        <w:pStyle w:val="Style9"/>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For these reasons all estimates of wages lost through disputes are somewhat fallacious. The real importance of strikes lies less in the value of the actual time consumed by their duration, than in their indirect effects on the organization and effective</w:t>
        <w:softHyphen/>
        <w:t>ness of the industry, and on the relations of employer to em</w:t>
        <w:softHyphen/>
        <w:t>ployed, and also in their reaction on the conditions pf allied trades. The comparative insignificance of the actual loss</w:t>
      </w:r>
    </w:p>
    <w:tbl>
      <w:tblPr>
        <w:tblOverlap w:val="never"/>
        <w:jc w:val="left"/>
        <w:tblLayout w:type="fixed"/>
      </w:tblPr>
      <w:tblGrid>
        <w:gridCol w:w="1863"/>
        <w:gridCol w:w="891"/>
        <w:gridCol w:w="815"/>
        <w:gridCol w:w="896"/>
        <w:gridCol w:w="815"/>
        <w:gridCol w:w="968"/>
      </w:tblGrid>
      <w:tr>
        <w:trPr>
          <w:trHeight w:val="239"/>
        </w:trPr>
        <w:tc>
          <w:tcPr>
            <w:vMerge w:val="restart"/>
            <w:tcBorders>
              <w:top w:val="single" w:sz="4"/>
              <w:left w:val="single" w:sz="4"/>
            </w:tcBorders>
            <w:shd w:val="clear" w:color="auto" w:fill="FBF8DE"/>
            <w:vAlign w:val="center"/>
          </w:tcPr>
          <w:p>
            <w:pPr>
              <w:pStyle w:val="Style4"/>
              <w:keepNext w:val="0"/>
              <w:keepLines w:val="0"/>
              <w:widowControl w:val="0"/>
              <w:shd w:val="clear" w:color="auto" w:fill="auto"/>
              <w:bidi w:val="0"/>
              <w:spacing w:line="240" w:lineRule="auto"/>
              <w:ind w:left="0" w:firstLine="0"/>
              <w:jc w:val="left"/>
              <w:rPr>
                <w:sz w:val="12"/>
                <w:szCs w:val="12"/>
              </w:rPr>
            </w:pPr>
            <w:r>
              <w:rPr>
                <w:color w:val="000000"/>
                <w:spacing w:val="0"/>
                <w:w w:val="100"/>
                <w:position w:val="0"/>
                <w:sz w:val="12"/>
                <w:szCs w:val="12"/>
                <w:shd w:val="clear" w:color="auto" w:fill="auto"/>
                <w:lang w:val="en-US" w:eastAsia="en-US" w:bidi="en-US"/>
              </w:rPr>
              <w:t>Group of Trades.</w:t>
            </w:r>
          </w:p>
        </w:tc>
        <w:tc>
          <w:tcPr>
            <w:gridSpan w:val="3"/>
            <w:tcBorders>
              <w:top w:val="single" w:sz="4"/>
              <w:lef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2"/>
                <w:szCs w:val="12"/>
              </w:rPr>
            </w:pPr>
            <w:r>
              <w:rPr>
                <w:color w:val="000000"/>
                <w:spacing w:val="0"/>
                <w:w w:val="100"/>
                <w:position w:val="0"/>
                <w:sz w:val="12"/>
                <w:szCs w:val="12"/>
                <w:shd w:val="clear" w:color="auto" w:fill="auto"/>
                <w:lang w:val="en-US" w:eastAsia="en-US" w:bidi="en-US"/>
              </w:rPr>
              <w:t>Mean Annual</w:t>
            </w:r>
          </w:p>
        </w:tc>
        <w:tc>
          <w:tcPr>
            <w:vMerge w:val="restart"/>
            <w:tcBorders>
              <w:top w:val="single" w:sz="4"/>
              <w:left w:val="single" w:sz="4"/>
            </w:tcBorders>
            <w:shd w:val="clear" w:color="auto" w:fill="FBF8DE"/>
            <w:vAlign w:val="center"/>
          </w:tcPr>
          <w:p>
            <w:pPr>
              <w:pStyle w:val="Style4"/>
              <w:keepNext w:val="0"/>
              <w:keepLines w:val="0"/>
              <w:widowControl w:val="0"/>
              <w:shd w:val="clear" w:color="auto" w:fill="auto"/>
              <w:bidi w:val="0"/>
              <w:spacing w:line="197" w:lineRule="auto"/>
              <w:ind w:left="0" w:firstLine="0"/>
              <w:jc w:val="left"/>
              <w:rPr>
                <w:sz w:val="12"/>
                <w:szCs w:val="12"/>
              </w:rPr>
            </w:pPr>
            <w:r>
              <w:rPr>
                <w:color w:val="000000"/>
                <w:spacing w:val="0"/>
                <w:w w:val="100"/>
                <w:position w:val="0"/>
                <w:sz w:val="12"/>
                <w:szCs w:val="12"/>
                <w:shd w:val="clear" w:color="auto" w:fill="auto"/>
                <w:lang w:val="en-US" w:eastAsia="en-US" w:bidi="en-US"/>
              </w:rPr>
              <w:t>Percentage of Total Number employed who were affected by Disputes.</w:t>
            </w:r>
          </w:p>
        </w:tc>
        <w:tc>
          <w:tcPr>
            <w:vMerge w:val="restart"/>
            <w:tcBorders>
              <w:top w:val="single" w:sz="4"/>
              <w:left w:val="single" w:sz="4"/>
              <w:right w:val="single" w:sz="4"/>
            </w:tcBorders>
            <w:shd w:val="clear" w:color="auto" w:fill="FBF8DE"/>
            <w:vAlign w:val="center"/>
          </w:tcPr>
          <w:p>
            <w:pPr>
              <w:pStyle w:val="Style4"/>
              <w:keepNext w:val="0"/>
              <w:keepLines w:val="0"/>
              <w:widowControl w:val="0"/>
              <w:shd w:val="clear" w:color="auto" w:fill="auto"/>
              <w:bidi w:val="0"/>
              <w:spacing w:line="199" w:lineRule="auto"/>
              <w:ind w:left="0" w:firstLine="0"/>
              <w:jc w:val="left"/>
              <w:rPr>
                <w:sz w:val="12"/>
                <w:szCs w:val="12"/>
              </w:rPr>
            </w:pPr>
            <w:r>
              <w:rPr>
                <w:color w:val="000000"/>
                <w:spacing w:val="0"/>
                <w:w w:val="100"/>
                <w:position w:val="0"/>
                <w:sz w:val="12"/>
                <w:szCs w:val="12"/>
                <w:shd w:val="clear" w:color="auto" w:fill="auto"/>
                <w:lang w:val="en-US" w:eastAsia="en-US" w:bidi="en-US"/>
              </w:rPr>
              <w:t>Percentage of</w:t>
            </w:r>
          </w:p>
          <w:p>
            <w:pPr>
              <w:pStyle w:val="Style4"/>
              <w:keepNext w:val="0"/>
              <w:keepLines w:val="0"/>
              <w:widowControl w:val="0"/>
              <w:shd w:val="clear" w:color="auto" w:fill="auto"/>
              <w:bidi w:val="0"/>
              <w:spacing w:line="199" w:lineRule="auto"/>
              <w:ind w:left="0" w:firstLine="0"/>
              <w:jc w:val="left"/>
              <w:rPr>
                <w:sz w:val="12"/>
                <w:szCs w:val="12"/>
              </w:rPr>
            </w:pPr>
            <w:r>
              <w:rPr>
                <w:color w:val="000000"/>
                <w:spacing w:val="0"/>
                <w:w w:val="100"/>
                <w:position w:val="0"/>
                <w:sz w:val="12"/>
                <w:szCs w:val="12"/>
                <w:shd w:val="clear" w:color="auto" w:fill="auto"/>
                <w:lang w:val="en-US" w:eastAsia="en-US" w:bidi="en-US"/>
              </w:rPr>
              <w:t>Aggregate Working Time occupied by Disputes.</w:t>
            </w:r>
          </w:p>
        </w:tc>
      </w:tr>
      <w:tr>
        <w:trPr>
          <w:trHeight w:val="707"/>
        </w:trPr>
        <w:tc>
          <w:tcPr>
            <w:vMerge/>
            <w:tcBorders>
              <w:left w:val="single" w:sz="4"/>
            </w:tcBorders>
            <w:shd w:val="clear" w:color="auto" w:fill="FBF8DE"/>
            <w:vAlign w:val="center"/>
          </w:tcPr>
          <w:p>
            <w:pPr/>
          </w:p>
        </w:tc>
        <w:tc>
          <w:tcPr>
            <w:tcBorders>
              <w:top w:val="single" w:sz="4"/>
              <w:left w:val="single" w:sz="4"/>
            </w:tcBorders>
            <w:shd w:val="clear" w:color="auto" w:fill="FBF8DE"/>
            <w:vAlign w:val="center"/>
          </w:tcPr>
          <w:p>
            <w:pPr>
              <w:pStyle w:val="Style4"/>
              <w:keepNext w:val="0"/>
              <w:keepLines w:val="0"/>
              <w:widowControl w:val="0"/>
              <w:shd w:val="clear" w:color="auto" w:fill="auto"/>
              <w:bidi w:val="0"/>
              <w:spacing w:line="204" w:lineRule="auto"/>
              <w:ind w:left="0" w:firstLine="0"/>
              <w:jc w:val="left"/>
              <w:rPr>
                <w:sz w:val="12"/>
                <w:szCs w:val="12"/>
              </w:rPr>
            </w:pPr>
            <w:r>
              <w:rPr>
                <w:color w:val="000000"/>
                <w:spacing w:val="0"/>
                <w:w w:val="100"/>
                <w:position w:val="0"/>
                <w:sz w:val="12"/>
                <w:szCs w:val="12"/>
                <w:shd w:val="clear" w:color="auto" w:fill="auto"/>
                <w:lang w:val="en-US" w:eastAsia="en-US" w:bidi="en-US"/>
              </w:rPr>
              <w:t>Number of Disputes.</w:t>
            </w:r>
          </w:p>
        </w:tc>
        <w:tc>
          <w:tcPr>
            <w:tcBorders>
              <w:top w:val="single" w:sz="4"/>
              <w:left w:val="single" w:sz="4"/>
            </w:tcBorders>
            <w:shd w:val="clear" w:color="auto" w:fill="FBF8DE"/>
            <w:vAlign w:val="center"/>
          </w:tcPr>
          <w:p>
            <w:pPr>
              <w:pStyle w:val="Style4"/>
              <w:keepNext w:val="0"/>
              <w:keepLines w:val="0"/>
              <w:widowControl w:val="0"/>
              <w:shd w:val="clear" w:color="auto" w:fill="auto"/>
              <w:bidi w:val="0"/>
              <w:spacing w:line="197" w:lineRule="auto"/>
              <w:ind w:left="0" w:firstLine="0"/>
              <w:jc w:val="left"/>
              <w:rPr>
                <w:sz w:val="12"/>
                <w:szCs w:val="12"/>
              </w:rPr>
            </w:pPr>
            <w:r>
              <w:rPr>
                <w:color w:val="000000"/>
                <w:spacing w:val="0"/>
                <w:w w:val="100"/>
                <w:position w:val="0"/>
                <w:sz w:val="12"/>
                <w:szCs w:val="12"/>
                <w:shd w:val="clear" w:color="auto" w:fill="auto"/>
                <w:lang w:val="en-US" w:eastAsia="en-US" w:bidi="en-US"/>
              </w:rPr>
              <w:t>Number of Work-people affected (directly and indirectly).</w:t>
            </w:r>
          </w:p>
        </w:tc>
        <w:tc>
          <w:tcPr>
            <w:tcBorders>
              <w:top w:val="single" w:sz="4"/>
              <w:left w:val="single" w:sz="4"/>
            </w:tcBorders>
            <w:shd w:val="clear" w:color="auto" w:fill="FBF8DE"/>
            <w:vAlign w:val="center"/>
          </w:tcPr>
          <w:p>
            <w:pPr>
              <w:pStyle w:val="Style4"/>
              <w:keepNext w:val="0"/>
              <w:keepLines w:val="0"/>
              <w:widowControl w:val="0"/>
              <w:shd w:val="clear" w:color="auto" w:fill="auto"/>
              <w:bidi w:val="0"/>
              <w:spacing w:line="199" w:lineRule="auto"/>
              <w:ind w:left="0" w:firstLine="0"/>
              <w:jc w:val="left"/>
              <w:rPr>
                <w:sz w:val="12"/>
                <w:szCs w:val="12"/>
              </w:rPr>
            </w:pPr>
            <w:r>
              <w:rPr>
                <w:color w:val="000000"/>
                <w:spacing w:val="0"/>
                <w:w w:val="100"/>
                <w:position w:val="0"/>
                <w:sz w:val="12"/>
                <w:szCs w:val="12"/>
                <w:shd w:val="clear" w:color="auto" w:fill="auto"/>
                <w:lang w:val="en-US" w:eastAsia="en-US" w:bidi="en-US"/>
              </w:rPr>
              <w:t>Aggregate Duration in Working Days.</w:t>
            </w:r>
          </w:p>
        </w:tc>
        <w:tc>
          <w:tcPr>
            <w:vMerge/>
            <w:tcBorders>
              <w:left w:val="single" w:sz="4"/>
            </w:tcBorders>
            <w:shd w:val="clear" w:color="auto" w:fill="FBF8DE"/>
            <w:vAlign w:val="center"/>
          </w:tcPr>
          <w:p>
            <w:pPr/>
          </w:p>
        </w:tc>
        <w:tc>
          <w:tcPr>
            <w:vMerge/>
            <w:tcBorders>
              <w:left w:val="single" w:sz="4"/>
              <w:right w:val="single" w:sz="4"/>
            </w:tcBorders>
            <w:shd w:val="clear" w:color="auto" w:fill="FBF8DE"/>
            <w:vAlign w:val="center"/>
          </w:tcPr>
          <w:p>
            <w:pPr/>
          </w:p>
        </w:tc>
      </w:tr>
      <w:tr>
        <w:trPr>
          <w:trHeight w:val="225"/>
        </w:trPr>
        <w:tc>
          <w:tcPr>
            <w:tcBorders>
              <w:top w:val="single" w:sz="4"/>
              <w:left w:val="single" w:sz="4"/>
            </w:tcBorders>
            <w:shd w:val="clear" w:color="auto" w:fill="FBF8DE"/>
            <w:vAlign w:val="bottom"/>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Building .....</w:t>
            </w:r>
          </w:p>
        </w:tc>
        <w:tc>
          <w:tcPr>
            <w:tcBorders>
              <w:top w:val="single" w:sz="4"/>
              <w:left w:val="single" w:sz="4"/>
            </w:tcBorders>
            <w:shd w:val="clear" w:color="auto" w:fill="FBF8DE"/>
            <w:vAlign w:val="bottom"/>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43</w:t>
            </w:r>
          </w:p>
        </w:tc>
        <w:tc>
          <w:tcPr>
            <w:tcBorders>
              <w:top w:val="single" w:sz="4"/>
              <w:left w:val="single" w:sz="4"/>
            </w:tcBorders>
            <w:shd w:val="clear" w:color="auto" w:fill="FBF8DE"/>
            <w:vAlign w:val="bottom"/>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5,260</w:t>
            </w:r>
          </w:p>
        </w:tc>
        <w:tc>
          <w:tcPr>
            <w:tcBorders>
              <w:top w:val="single" w:sz="4"/>
              <w:left w:val="single" w:sz="4"/>
            </w:tcBorders>
            <w:shd w:val="clear" w:color="auto" w:fill="FBF8DE"/>
            <w:vAlign w:val="bottom"/>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234,651</w:t>
            </w:r>
          </w:p>
        </w:tc>
        <w:tc>
          <w:tcPr>
            <w:tcBorders>
              <w:top w:val="single" w:sz="4"/>
              <w:left w:val="single" w:sz="4"/>
            </w:tcBorders>
            <w:shd w:val="clear" w:color="auto" w:fill="FBF8DE"/>
            <w:vAlign w:val="bottom"/>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0∙5</w:t>
            </w:r>
          </w:p>
        </w:tc>
        <w:tc>
          <w:tcPr>
            <w:tcBorders>
              <w:top w:val="single" w:sz="4"/>
              <w:left w:val="single" w:sz="4"/>
              <w:right w:val="single" w:sz="4"/>
            </w:tcBorders>
            <w:shd w:val="clear" w:color="auto" w:fill="FBF8DE"/>
            <w:vAlign w:val="bottom"/>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0∙07</w:t>
            </w:r>
          </w:p>
        </w:tc>
      </w:tr>
      <w:tr>
        <w:trPr>
          <w:trHeight w:val="144"/>
        </w:trPr>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Mining and Quarrying .</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133</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87,509</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1,348,289</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8·7</w:t>
            </w:r>
          </w:p>
        </w:tc>
        <w:tc>
          <w:tcPr>
            <w:tcBorders>
              <w:left w:val="single" w:sz="4"/>
              <w:righ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0·45</w:t>
            </w:r>
          </w:p>
        </w:tc>
      </w:tr>
      <w:tr>
        <w:trPr>
          <w:trHeight w:val="297"/>
        </w:trPr>
        <w:tc>
          <w:tcPr>
            <w:tcBorders>
              <w:left w:val="single" w:sz="4"/>
            </w:tcBorders>
            <w:shd w:val="clear" w:color="auto" w:fill="FBF8DE"/>
            <w:vAlign w:val="top"/>
          </w:tcPr>
          <w:p>
            <w:pPr>
              <w:pStyle w:val="Style4"/>
              <w:keepNext w:val="0"/>
              <w:keepLines w:val="0"/>
              <w:widowControl w:val="0"/>
              <w:shd w:val="clear" w:color="auto" w:fill="auto"/>
              <w:bidi w:val="0"/>
              <w:spacing w:line="197" w:lineRule="auto"/>
              <w:ind w:left="360" w:hanging="360"/>
              <w:jc w:val="left"/>
              <w:rPr>
                <w:sz w:val="16"/>
                <w:szCs w:val="16"/>
              </w:rPr>
            </w:pPr>
            <w:r>
              <w:rPr>
                <w:color w:val="000000"/>
                <w:spacing w:val="0"/>
                <w:w w:val="100"/>
                <w:position w:val="0"/>
                <w:sz w:val="16"/>
                <w:szCs w:val="16"/>
                <w:shd w:val="clear" w:color="auto" w:fill="auto"/>
                <w:lang w:val="en-US" w:eastAsia="en-US" w:bidi="en-US"/>
              </w:rPr>
              <w:t>Metal, Engineering and Shipbuilding</w:t>
            </w:r>
          </w:p>
        </w:tc>
        <w:tc>
          <w:tcPr>
            <w:tcBorders>
              <w:left w:val="single" w:sz="4"/>
            </w:tcBorders>
            <w:shd w:val="clear" w:color="auto" w:fill="FBF8DE"/>
            <w:vAlign w:val="bottom"/>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95</w:t>
            </w:r>
          </w:p>
        </w:tc>
        <w:tc>
          <w:tcPr>
            <w:tcBorders>
              <w:left w:val="single" w:sz="4"/>
            </w:tcBorders>
            <w:shd w:val="clear" w:color="auto" w:fill="FBF8DE"/>
            <w:vAlign w:val="bottom"/>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22,470</w:t>
            </w:r>
          </w:p>
        </w:tc>
        <w:tc>
          <w:tcPr>
            <w:tcBorders>
              <w:left w:val="single" w:sz="4"/>
            </w:tcBorders>
            <w:shd w:val="clear" w:color="auto" w:fill="FBF8DE"/>
            <w:vAlign w:val="bottom"/>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534,549</w:t>
            </w:r>
          </w:p>
        </w:tc>
        <w:tc>
          <w:tcPr>
            <w:tcBorders>
              <w:left w:val="single" w:sz="4"/>
            </w:tcBorders>
            <w:shd w:val="clear" w:color="auto" w:fill="FBF8DE"/>
            <w:vAlign w:val="bottom"/>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1∙6</w:t>
            </w:r>
          </w:p>
        </w:tc>
        <w:tc>
          <w:tcPr>
            <w:tcBorders>
              <w:left w:val="single" w:sz="4"/>
              <w:right w:val="single" w:sz="4"/>
            </w:tcBorders>
            <w:shd w:val="clear" w:color="auto" w:fill="FBF8DE"/>
            <w:vAlign w:val="bottom"/>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0∙13</w:t>
            </w:r>
          </w:p>
        </w:tc>
      </w:tr>
      <w:tr>
        <w:trPr>
          <w:trHeight w:val="149"/>
        </w:trPr>
        <w:tc>
          <w:tcPr>
            <w:tcBorders>
              <w:left w:val="single" w:sz="4"/>
            </w:tcBorders>
            <w:shd w:val="clear" w:color="auto" w:fill="FBF8DE"/>
            <w:vAlign w:val="top"/>
          </w:tcPr>
          <w:p>
            <w:pPr>
              <w:pStyle w:val="Style4"/>
              <w:keepNext w:val="0"/>
              <w:keepLines w:val="0"/>
              <w:widowControl w:val="0"/>
              <w:shd w:val="clear" w:color="auto" w:fill="auto"/>
              <w:tabs>
                <w:tab w:leader="dot" w:pos="1679"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Textile</w:t>
              <w:tab/>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90</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27,736</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326,468</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2∙3</w:t>
            </w:r>
          </w:p>
        </w:tc>
        <w:tc>
          <w:tcPr>
            <w:tcBorders>
              <w:left w:val="single" w:sz="4"/>
              <w:righ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0∙09</w:t>
            </w:r>
          </w:p>
        </w:tc>
      </w:tr>
      <w:tr>
        <w:trPr>
          <w:trHeight w:val="153"/>
        </w:trPr>
        <w:tc>
          <w:tcPr>
            <w:tcBorders>
              <w:left w:val="single" w:sz="4"/>
            </w:tcBorders>
            <w:shd w:val="clear" w:color="auto" w:fill="FBF8DE"/>
            <w:vAlign w:val="bottom"/>
          </w:tcPr>
          <w:p>
            <w:pPr>
              <w:pStyle w:val="Style4"/>
              <w:keepNext w:val="0"/>
              <w:keepLines w:val="0"/>
              <w:widowControl w:val="0"/>
              <w:shd w:val="clear" w:color="auto" w:fill="auto"/>
              <w:tabs>
                <w:tab w:leader="dot" w:pos="1674"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Clothing </w:t>
              <w:tab/>
            </w:r>
          </w:p>
        </w:tc>
        <w:tc>
          <w:tcPr>
            <w:tcBorders>
              <w:left w:val="single" w:sz="4"/>
            </w:tcBorders>
            <w:shd w:val="clear" w:color="auto" w:fill="FBF8DE"/>
            <w:vAlign w:val="bottom"/>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36</w:t>
            </w:r>
          </w:p>
        </w:tc>
        <w:tc>
          <w:tcPr>
            <w:tcBorders>
              <w:left w:val="single" w:sz="4"/>
            </w:tcBorders>
            <w:shd w:val="clear" w:color="auto" w:fill="FBF8DE"/>
            <w:vAlign w:val="bottom"/>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4,992</w:t>
            </w:r>
          </w:p>
        </w:tc>
        <w:tc>
          <w:tcPr>
            <w:tcBorders>
              <w:left w:val="single" w:sz="4"/>
            </w:tcBorders>
            <w:shd w:val="clear" w:color="auto" w:fill="FBF8DE"/>
            <w:vAlign w:val="bottom"/>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104,619</w:t>
            </w:r>
          </w:p>
        </w:tc>
        <w:tc>
          <w:tcPr>
            <w:tcBorders>
              <w:left w:val="single" w:sz="4"/>
            </w:tcBorders>
            <w:shd w:val="clear" w:color="auto" w:fill="FBF8DE"/>
            <w:vAlign w:val="bottom"/>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0∙7</w:t>
            </w:r>
          </w:p>
        </w:tc>
        <w:tc>
          <w:tcPr>
            <w:tcBorders>
              <w:left w:val="single" w:sz="4"/>
              <w:right w:val="single" w:sz="4"/>
            </w:tcBorders>
            <w:shd w:val="clear" w:color="auto" w:fill="FBF8DE"/>
            <w:vAlign w:val="bottom"/>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0∙05</w:t>
            </w:r>
          </w:p>
        </w:tc>
      </w:tr>
      <w:tr>
        <w:trPr>
          <w:trHeight w:val="212"/>
        </w:trPr>
        <w:tc>
          <w:tcPr>
            <w:tcBorders>
              <w:left w:val="single" w:sz="4"/>
            </w:tcBorders>
            <w:shd w:val="clear" w:color="auto" w:fill="FBF8DE"/>
            <w:vAlign w:val="top"/>
          </w:tcPr>
          <w:p>
            <w:pPr>
              <w:pStyle w:val="Style4"/>
              <w:keepNext w:val="0"/>
              <w:keepLines w:val="0"/>
              <w:widowControl w:val="0"/>
              <w:shd w:val="clear" w:color="auto" w:fill="auto"/>
              <w:tabs>
                <w:tab w:pos="700" w:val="left"/>
                <w:tab w:leader="dot" w:pos="1679"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Other</w:t>
              <w:tab/>
              <w:tab/>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72</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9,047</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180,793</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0∙2</w:t>
            </w:r>
          </w:p>
        </w:tc>
        <w:tc>
          <w:tcPr>
            <w:tcBorders>
              <w:left w:val="single" w:sz="4"/>
              <w:righ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0·0I</w:t>
            </w:r>
          </w:p>
        </w:tc>
      </w:tr>
      <w:tr>
        <w:trPr>
          <w:trHeight w:val="743"/>
        </w:trPr>
        <w:tc>
          <w:tcPr>
            <w:tcBorders>
              <w:top w:val="single" w:sz="4"/>
              <w:left w:val="single" w:sz="4"/>
              <w:bottom w:val="single" w:sz="4"/>
            </w:tcBorders>
            <w:shd w:val="clear" w:color="auto" w:fill="FBF8DE"/>
            <w:vAlign w:val="top"/>
          </w:tcPr>
          <w:p>
            <w:pPr>
              <w:pStyle w:val="Style4"/>
              <w:keepNext w:val="0"/>
              <w:keepLines w:val="0"/>
              <w:widowControl w:val="0"/>
              <w:shd w:val="clear" w:color="auto" w:fill="auto"/>
              <w:bidi w:val="0"/>
              <w:spacing w:line="194" w:lineRule="auto"/>
              <w:ind w:left="360" w:hanging="360"/>
              <w:jc w:val="left"/>
              <w:rPr>
                <w:sz w:val="16"/>
                <w:szCs w:val="16"/>
              </w:rPr>
            </w:pPr>
            <w:r>
              <w:rPr>
                <w:color w:val="000000"/>
                <w:spacing w:val="0"/>
                <w:w w:val="100"/>
                <w:position w:val="0"/>
                <w:sz w:val="16"/>
                <w:szCs w:val="16"/>
                <w:shd w:val="clear" w:color="auto" w:fill="auto"/>
                <w:lang w:val="en-US" w:eastAsia="en-US" w:bidi="en-US"/>
              </w:rPr>
              <w:t>All Industries, except Agricultural Labour</w:t>
              <w:softHyphen/>
              <w:t>ers, Seamen and Do</w:t>
              <w:softHyphen/>
              <w:t>mestic Servants .</w:t>
            </w:r>
          </w:p>
        </w:tc>
        <w:tc>
          <w:tcPr>
            <w:tcBorders>
              <w:top w:val="single" w:sz="4"/>
              <w:left w:val="single" w:sz="4"/>
              <w:bottom w:val="single" w:sz="4"/>
            </w:tcBorders>
            <w:shd w:val="clear" w:color="auto" w:fill="FBF8DE"/>
            <w:vAlign w:val="bottom"/>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469</w:t>
            </w:r>
          </w:p>
        </w:tc>
        <w:tc>
          <w:tcPr>
            <w:tcBorders>
              <w:top w:val="single" w:sz="4"/>
              <w:left w:val="single" w:sz="4"/>
              <w:bottom w:val="single" w:sz="4"/>
            </w:tcBorders>
            <w:shd w:val="clear" w:color="auto" w:fill="FBF8DE"/>
            <w:vAlign w:val="bottom"/>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157,014</w:t>
            </w:r>
          </w:p>
        </w:tc>
        <w:tc>
          <w:tcPr>
            <w:tcBorders>
              <w:top w:val="single" w:sz="4"/>
              <w:left w:val="single" w:sz="4"/>
              <w:bottom w:val="single" w:sz="4"/>
            </w:tcBorders>
            <w:shd w:val="clear" w:color="auto" w:fill="FBF8DE"/>
            <w:vAlign w:val="bottom"/>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2,729.369</w:t>
            </w:r>
          </w:p>
        </w:tc>
        <w:tc>
          <w:tcPr>
            <w:tcBorders>
              <w:top w:val="single" w:sz="4"/>
              <w:left w:val="single" w:sz="4"/>
              <w:bottom w:val="single" w:sz="4"/>
            </w:tcBorders>
            <w:shd w:val="clear" w:color="auto" w:fill="FBF8DE"/>
            <w:vAlign w:val="bottom"/>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1∙6</w:t>
            </w:r>
          </w:p>
        </w:tc>
        <w:tc>
          <w:tcPr>
            <w:tcBorders>
              <w:top w:val="single" w:sz="4"/>
              <w:left w:val="single" w:sz="4"/>
              <w:bottom w:val="single" w:sz="4"/>
              <w:right w:val="single" w:sz="4"/>
            </w:tcBorders>
            <w:shd w:val="clear" w:color="auto" w:fill="FBF8DE"/>
            <w:vAlign w:val="bottom"/>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0∙09</w:t>
            </w:r>
          </w:p>
        </w:tc>
      </w:tr>
    </w:tbl>
    <w:p>
      <w:pPr>
        <w:pStyle w:val="Style9"/>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to production owing to the mere loss of time caused by strikes will be seen from the fact that the total duration of strikes during the seven years 1901-1907, if spread over the entire adult male working population, would be equivalent to less than the loss of one-third of a day per head per annum. As a matter of fact, however, the loss owing to strikes is very un</w:t>
        <w:softHyphen/>
        <w:t xml:space="preserve">equally distributed over the industrial population. In large groups of industries,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agriculture, strikes are of rare occurrence. In others, such as the building trades, they are frequent, but mostly small and local; while in mining they are not only fre</w:t>
        <w:softHyphen/>
        <w:t>quent and often prolonged, but in many cases they involve large numbers of persons and extend over wide areas. Thus on an average of the seven years 1901-1907 there were 43 disputes annually in the building trades, and 133 in mining and quarrying, but the latter disputes have involved nearly seven</w:t>
        <w:softHyphen/>
        <w:t>teen times as many persons and had an aggregate duration nearly six times as great. Intermediate between these groups of trades is the metal, engineering and shipbuilding group, in which, more perhaps than in any other group, the importance of disputes varies according to the state of trade.</w:t>
      </w:r>
    </w:p>
    <w:p>
      <w:pPr>
        <w:pStyle w:val="Style9"/>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The principal facts relating to the distribution of trade dis</w:t>
        <w:softHyphen/>
        <w:t>putes among the more important groups of trades are given in the above table for the mean of the seven years 1901-1907.</w:t>
      </w:r>
    </w:p>
    <w:p>
      <w:pPr>
        <w:pStyle w:val="Style9"/>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It would be natural to expect that trade disputes would be most prevalent at or just after a turn in the tide of employment,</w:t>
      </w:r>
    </w:p>
    <w:p>
      <w:pPr>
        <w:pStyle w:val="Style9"/>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to enable any regular law of variations in disputes to be estab</w:t>
        <w:softHyphen/>
        <w:t xml:space="preserve">lished by statistical evidence. It is to be remembered that in recent years there has been a great development in the means available for avoiding stoppages by conciliatory action (see </w:t>
      </w:r>
      <w:r>
        <w:rPr>
          <w:smallCaps/>
          <w:color w:val="000000"/>
          <w:spacing w:val="0"/>
          <w:w w:val="100"/>
          <w:position w:val="0"/>
          <w:shd w:val="clear" w:color="auto" w:fill="auto"/>
          <w:lang w:val="en-US" w:eastAsia="en-US" w:bidi="en-US"/>
        </w:rPr>
        <w:t>Arbitration and Conciliation),</w:t>
      </w:r>
      <w:r>
        <w:rPr>
          <w:color w:val="000000"/>
          <w:spacing w:val="0"/>
          <w:w w:val="100"/>
          <w:position w:val="0"/>
          <w:shd w:val="clear" w:color="auto" w:fill="auto"/>
          <w:lang w:val="en-US" w:eastAsia="en-US" w:bidi="en-US"/>
        </w:rPr>
        <w:t xml:space="preserve"> and this of itself would greatly complicate the task of tracing any correspondence between the prevalence of actual stoppages and the state of employ</w:t>
        <w:softHyphen/>
        <w:t>ment. Broadly it may be said that the great majority of up</w:t>
        <w:softHyphen/>
        <w:t>ward and downward changes of wages are settled nowadays without strikes, and in many trades actual stoppages, instead of being a normal feature in the relations between employer and employed, are rather to be looked on as cases of accidental breakdown of the recognized machinery of negotiation.</w:t>
      </w:r>
    </w:p>
    <w:p>
      <w:pPr>
        <w:pStyle w:val="Style9"/>
        <w:keepNext w:val="0"/>
        <w:keepLines w:val="0"/>
        <w:widowControl w:val="0"/>
        <w:shd w:val="clear" w:color="auto" w:fill="auto"/>
        <w:bidi w:val="0"/>
        <w:spacing w:line="226" w:lineRule="auto"/>
        <w:ind w:left="360" w:hanging="360"/>
        <w:jc w:val="left"/>
      </w:pPr>
      <w:r>
        <w:rPr>
          <w:color w:val="000000"/>
          <w:spacing w:val="0"/>
          <w:w w:val="100"/>
          <w:position w:val="0"/>
          <w:shd w:val="clear" w:color="auto" w:fill="auto"/>
          <w:lang w:val="en-US" w:eastAsia="en-US" w:bidi="en-US"/>
        </w:rPr>
        <w:t>The causes of disputes are of course very varied, embracing all the matters relating to conditions of employment on which differences may arise between employers and employed. Experience shows, how</w:t>
        <w:softHyphen/>
        <w:t>ever, that the great bulk of disputes relate to questions of wages, a much smaller proportion to hours of labour, and the balance to a large number of miscellaneous questions, such as the employment of per</w:t>
        <w:softHyphen/>
        <w:t>sons or classes obnoxious to the strikers on the ground that they do not belong to their union, or have worked against its interests, or because they are held to have no “right ” to the particular occupation on which they are employed, either on account of not having gone through the recognized training or of belonging to another trade.</w:t>
      </w:r>
    </w:p>
    <w:p>
      <w:pPr>
        <w:pStyle w:val="Style9"/>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Among this class of strikes are to be included the so-called “ de</w:t>
        <w:softHyphen/>
        <w:t>marcation ” disputes between two bodies of workmen as to the limits of their trades, which frequently cause suspension of work by both groups, to the great inconvenience of the employer. Strikes are also not uncommon on the question of trade unionism pure and simple—</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to obtain or defend freedom to belong to a union, or to act through its agency in negotiations with em</w:t>
        <w:softHyphen/>
        <w:t>ployers. This question enters more or less as a factor into a large number of disputes, most usually, however, as a secondary cause or object, so that it does not appear prominently in the tabulation of causes in the board of trade statistics, which is based on principal causes only. Thus the formulated demands of the strikers are usually for improved conditions of work, the ques</w:t>
        <w:softHyphen/>
        <w:t>tion of “ recognition ” of the trade union only arising incidentally when the parties attempt to negotiate as to these demands. The following table, showing the principal causes of disputes for the seven years 1901-1907, is based on the official statistics:—</w:t>
      </w:r>
    </w:p>
    <w:tbl>
      <w:tblPr>
        <w:tblOverlap w:val="never"/>
        <w:jc w:val="left"/>
        <w:tblLayout w:type="fixed"/>
      </w:tblPr>
      <w:tblGrid>
        <w:gridCol w:w="977"/>
        <w:gridCol w:w="972"/>
        <w:gridCol w:w="977"/>
        <w:gridCol w:w="896"/>
        <w:gridCol w:w="891"/>
      </w:tblGrid>
      <w:tr>
        <w:trPr>
          <w:trHeight w:val="401"/>
        </w:trPr>
        <w:tc>
          <w:tcPr>
            <w:gridSpan w:val="5"/>
            <w:tcBorders>
              <w:top w:val="single" w:sz="4"/>
              <w:left w:val="single" w:sz="4"/>
              <w:right w:val="single" w:sz="4"/>
            </w:tcBorders>
            <w:shd w:val="clear" w:color="auto" w:fill="FBF8DE"/>
            <w:vAlign w:val="bottom"/>
          </w:tcPr>
          <w:p>
            <w:pPr>
              <w:pStyle w:val="Style4"/>
              <w:keepNext w:val="0"/>
              <w:keepLines w:val="0"/>
              <w:widowControl w:val="0"/>
              <w:shd w:val="clear" w:color="auto" w:fill="auto"/>
              <w:bidi w:val="0"/>
              <w:spacing w:line="192" w:lineRule="auto"/>
              <w:ind w:left="0" w:firstLine="0"/>
              <w:jc w:val="left"/>
              <w:rPr>
                <w:sz w:val="16"/>
                <w:szCs w:val="16"/>
              </w:rPr>
            </w:pPr>
            <w:r>
              <w:rPr>
                <w:color w:val="000000"/>
                <w:spacing w:val="0"/>
                <w:w w:val="100"/>
                <w:position w:val="0"/>
                <w:sz w:val="16"/>
                <w:szCs w:val="16"/>
                <w:shd w:val="clear" w:color="auto" w:fill="auto"/>
                <w:lang w:val="en-US" w:eastAsia="en-US" w:bidi="en-US"/>
              </w:rPr>
              <w:t>Percentage Proportion of Work-people directly affected by Disputes in the seven years, 1901-1907, relating to</w:t>
            </w:r>
          </w:p>
        </w:tc>
      </w:tr>
      <w:tr>
        <w:trPr>
          <w:trHeight w:val="725"/>
        </w:trPr>
        <w:tc>
          <w:tcPr>
            <w:tcBorders>
              <w:top w:val="single" w:sz="4"/>
              <w:left w:val="single" w:sz="4"/>
            </w:tcBorders>
            <w:shd w:val="clear" w:color="auto" w:fill="FBF8DE"/>
            <w:vAlign w:val="center"/>
          </w:tcPr>
          <w:p>
            <w:pPr>
              <w:pStyle w:val="Style4"/>
              <w:keepNext w:val="0"/>
              <w:keepLines w:val="0"/>
              <w:widowControl w:val="0"/>
              <w:shd w:val="clear" w:color="auto" w:fill="auto"/>
              <w:bidi w:val="0"/>
              <w:spacing w:line="194" w:lineRule="auto"/>
              <w:ind w:left="0" w:firstLine="0"/>
              <w:jc w:val="left"/>
              <w:rPr>
                <w:sz w:val="16"/>
                <w:szCs w:val="16"/>
              </w:rPr>
            </w:pPr>
            <w:r>
              <w:rPr>
                <w:color w:val="000000"/>
                <w:spacing w:val="0"/>
                <w:w w:val="100"/>
                <w:position w:val="0"/>
                <w:sz w:val="16"/>
                <w:szCs w:val="16"/>
                <w:shd w:val="clear" w:color="auto" w:fill="auto"/>
                <w:lang w:val="en-US" w:eastAsia="en-US" w:bidi="en-US"/>
              </w:rPr>
              <w:t>Questions of Wages.</w:t>
            </w:r>
          </w:p>
        </w:tc>
        <w:tc>
          <w:tcPr>
            <w:tcBorders>
              <w:top w:val="single" w:sz="4"/>
              <w:left w:val="single" w:sz="4"/>
            </w:tcBorders>
            <w:shd w:val="clear" w:color="auto" w:fill="FBF8DE"/>
            <w:vAlign w:val="center"/>
          </w:tcPr>
          <w:p>
            <w:pPr>
              <w:pStyle w:val="Style4"/>
              <w:keepNext w:val="0"/>
              <w:keepLines w:val="0"/>
              <w:widowControl w:val="0"/>
              <w:shd w:val="clear" w:color="auto" w:fill="auto"/>
              <w:bidi w:val="0"/>
              <w:spacing w:line="192" w:lineRule="auto"/>
              <w:ind w:left="0" w:firstLine="0"/>
              <w:jc w:val="left"/>
              <w:rPr>
                <w:sz w:val="16"/>
                <w:szCs w:val="16"/>
              </w:rPr>
            </w:pPr>
            <w:r>
              <w:rPr>
                <w:color w:val="000000"/>
                <w:spacing w:val="0"/>
                <w:w w:val="100"/>
                <w:position w:val="0"/>
                <w:sz w:val="16"/>
                <w:szCs w:val="16"/>
                <w:shd w:val="clear" w:color="auto" w:fill="auto"/>
                <w:lang w:val="en-US" w:eastAsia="en-US" w:bidi="en-US"/>
              </w:rPr>
              <w:t>Questions of Hours.</w:t>
            </w:r>
          </w:p>
        </w:tc>
        <w:tc>
          <w:tcPr>
            <w:tcBorders>
              <w:top w:val="single" w:sz="4"/>
              <w:left w:val="single" w:sz="4"/>
            </w:tcBorders>
            <w:shd w:val="clear" w:color="auto" w:fill="FBF8DE"/>
            <w:vAlign w:val="top"/>
          </w:tcPr>
          <w:p>
            <w:pPr>
              <w:pStyle w:val="Style4"/>
              <w:keepNext w:val="0"/>
              <w:keepLines w:val="0"/>
              <w:widowControl w:val="0"/>
              <w:shd w:val="clear" w:color="auto" w:fill="auto"/>
              <w:bidi w:val="0"/>
              <w:spacing w:line="192" w:lineRule="auto"/>
              <w:ind w:left="0" w:firstLine="0"/>
              <w:jc w:val="left"/>
              <w:rPr>
                <w:sz w:val="16"/>
                <w:szCs w:val="16"/>
              </w:rPr>
            </w:pPr>
            <w:r>
              <w:rPr>
                <w:color w:val="000000"/>
                <w:spacing w:val="0"/>
                <w:w w:val="100"/>
                <w:position w:val="0"/>
                <w:sz w:val="16"/>
                <w:szCs w:val="16"/>
                <w:shd w:val="clear" w:color="auto" w:fill="auto"/>
                <w:lang w:val="en-US" w:eastAsia="en-US" w:bidi="en-US"/>
              </w:rPr>
              <w:t>Employment of particular Classes or Persons.</w:t>
            </w:r>
          </w:p>
        </w:tc>
        <w:tc>
          <w:tcPr>
            <w:tcBorders>
              <w:top w:val="single" w:sz="4"/>
              <w:left w:val="single" w:sz="4"/>
            </w:tcBorders>
            <w:shd w:val="clear" w:color="auto" w:fill="FBF8DE"/>
            <w:vAlign w:val="center"/>
          </w:tcPr>
          <w:p>
            <w:pPr>
              <w:pStyle w:val="Style4"/>
              <w:keepNext w:val="0"/>
              <w:keepLines w:val="0"/>
              <w:widowControl w:val="0"/>
              <w:shd w:val="clear" w:color="auto" w:fill="auto"/>
              <w:bidi w:val="0"/>
              <w:spacing w:line="187" w:lineRule="auto"/>
              <w:ind w:left="0" w:firstLine="0"/>
              <w:jc w:val="left"/>
              <w:rPr>
                <w:sz w:val="16"/>
                <w:szCs w:val="16"/>
              </w:rPr>
            </w:pPr>
            <w:r>
              <w:rPr>
                <w:color w:val="000000"/>
                <w:spacing w:val="0"/>
                <w:w w:val="100"/>
                <w:position w:val="0"/>
                <w:sz w:val="16"/>
                <w:szCs w:val="16"/>
                <w:shd w:val="clear" w:color="auto" w:fill="auto"/>
                <w:lang w:val="en-US" w:eastAsia="en-US" w:bidi="en-US"/>
              </w:rPr>
              <w:t>Trade Unionism.</w:t>
            </w:r>
          </w:p>
        </w:tc>
        <w:tc>
          <w:tcPr>
            <w:tcBorders>
              <w:top w:val="single" w:sz="4"/>
              <w:left w:val="single" w:sz="4"/>
              <w:right w:val="single" w:sz="4"/>
            </w:tcBorders>
            <w:shd w:val="clear" w:color="auto" w:fill="FBF8DE"/>
            <w:vAlign w:val="center"/>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Other</w:t>
            </w:r>
          </w:p>
          <w:p>
            <w:pPr>
              <w:pStyle w:val="Style4"/>
              <w:keepNext w:val="0"/>
              <w:keepLines w:val="0"/>
              <w:widowControl w:val="0"/>
              <w:shd w:val="clear" w:color="auto" w:fill="auto"/>
              <w:bidi w:val="0"/>
              <w:spacing w:line="199" w:lineRule="auto"/>
              <w:ind w:left="0" w:firstLine="0"/>
              <w:jc w:val="left"/>
              <w:rPr>
                <w:sz w:val="16"/>
                <w:szCs w:val="16"/>
              </w:rPr>
            </w:pPr>
            <w:r>
              <w:rPr>
                <w:color w:val="000000"/>
                <w:spacing w:val="0"/>
                <w:w w:val="100"/>
                <w:position w:val="0"/>
                <w:sz w:val="16"/>
                <w:szCs w:val="16"/>
                <w:shd w:val="clear" w:color="auto" w:fill="auto"/>
                <w:lang w:val="en-US" w:eastAsia="en-US" w:bidi="en-US"/>
              </w:rPr>
              <w:t>Causes.</w:t>
            </w:r>
          </w:p>
        </w:tc>
      </w:tr>
      <w:tr>
        <w:trPr>
          <w:trHeight w:val="261"/>
        </w:trPr>
        <w:tc>
          <w:tcPr>
            <w:tcBorders>
              <w:top w:val="single" w:sz="4"/>
              <w:left w:val="single" w:sz="4"/>
              <w:bottom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54∙5</w:t>
            </w:r>
          </w:p>
        </w:tc>
        <w:tc>
          <w:tcPr>
            <w:tcBorders>
              <w:top w:val="single" w:sz="4"/>
              <w:left w:val="single" w:sz="4"/>
              <w:bottom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3∙6</w:t>
            </w:r>
          </w:p>
        </w:tc>
        <w:tc>
          <w:tcPr>
            <w:tcBorders>
              <w:top w:val="single" w:sz="4"/>
              <w:left w:val="single" w:sz="4"/>
              <w:bottom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9∙2</w:t>
            </w:r>
          </w:p>
        </w:tc>
        <w:tc>
          <w:tcPr>
            <w:tcBorders>
              <w:top w:val="single" w:sz="4"/>
              <w:left w:val="single" w:sz="4"/>
              <w:bottom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18∙2</w:t>
            </w:r>
          </w:p>
        </w:tc>
        <w:tc>
          <w:tcPr>
            <w:tcBorders>
              <w:top w:val="single" w:sz="4"/>
              <w:left w:val="single" w:sz="4"/>
              <w:bottom w:val="single" w:sz="4"/>
              <w:righ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14∙5</w:t>
            </w:r>
          </w:p>
        </w:tc>
      </w:tr>
    </w:tbl>
    <w:p>
      <w:pPr>
        <w:widowControl w:val="0"/>
        <w:spacing w:line="1" w:lineRule="exact"/>
      </w:pPr>
    </w:p>
    <w:sectPr>
      <w:footnotePr>
        <w:pos w:val="pageBottom"/>
        <w:numFmt w:val="decimal"/>
        <w:numRestart w:val="continuous"/>
      </w:footnotePr>
      <w:type w:val="continuous"/>
      <w:pgSz w:w="12240" w:h="15840"/>
      <w:pgMar w:top="1201" w:left="1064" w:right="1438" w:bottom="12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Table caption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character" w:customStyle="1" w:styleId="CharStyle5">
    <w:name w:val="Other_"/>
    <w:basedOn w:val="DefaultParagraphFont"/>
    <w:link w:val="Style4"/>
    <w:rPr>
      <w:rFonts w:ascii="Times New Roman" w:eastAsia="Times New Roman" w:hAnsi="Times New Roman" w:cs="Times New Roman"/>
      <w:b w:val="0"/>
      <w:bCs w:val="0"/>
      <w:i w:val="0"/>
      <w:iCs w:val="0"/>
      <w:smallCaps w:val="0"/>
      <w:strike w:val="0"/>
      <w:sz w:val="17"/>
      <w:szCs w:val="17"/>
      <w:u w:val="none"/>
    </w:rPr>
  </w:style>
  <w:style w:type="character" w:customStyle="1" w:styleId="CharStyle10">
    <w:name w:val="Body text_"/>
    <w:basedOn w:val="DefaultParagraphFont"/>
    <w:link w:val="Style9"/>
    <w:rPr>
      <w:rFonts w:ascii="Times New Roman" w:eastAsia="Times New Roman" w:hAnsi="Times New Roman" w:cs="Times New Roman"/>
      <w:b w:val="0"/>
      <w:bCs w:val="0"/>
      <w:i w:val="0"/>
      <w:iCs w:val="0"/>
      <w:smallCaps w:val="0"/>
      <w:strike w:val="0"/>
      <w:sz w:val="17"/>
      <w:szCs w:val="17"/>
      <w:u w:val="none"/>
    </w:rPr>
  </w:style>
  <w:style w:type="paragraph" w:customStyle="1" w:styleId="Style2">
    <w:name w:val="Table caption"/>
    <w:basedOn w:val="Normal"/>
    <w:link w:val="CharStyle3"/>
    <w:pPr>
      <w:widowControl w:val="0"/>
      <w:shd w:val="clear" w:color="auto" w:fill="FFFFFF"/>
      <w:spacing w:line="226" w:lineRule="auto"/>
    </w:pPr>
    <w:rPr>
      <w:rFonts w:ascii="Times New Roman" w:eastAsia="Times New Roman" w:hAnsi="Times New Roman" w:cs="Times New Roman"/>
      <w:b w:val="0"/>
      <w:bCs w:val="0"/>
      <w:i w:val="0"/>
      <w:iCs w:val="0"/>
      <w:smallCaps w:val="0"/>
      <w:strike w:val="0"/>
      <w:sz w:val="17"/>
      <w:szCs w:val="17"/>
      <w:u w:val="none"/>
    </w:rPr>
  </w:style>
  <w:style w:type="paragraph" w:customStyle="1" w:styleId="Style4">
    <w:name w:val="Other"/>
    <w:basedOn w:val="Normal"/>
    <w:link w:val="CharStyle5"/>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styleId="Style9">
    <w:name w:val="Body text"/>
    <w:basedOn w:val="Normal"/>
    <w:link w:val="CharStyle10"/>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