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denote a mental process which produces effects very similar to those producible by suggestion is now so well established that it must be accepted. In auto-suggestion a proposition is formulated in the mind of the subject rather than communicated from another mind, and is accepted with conviction in the absence of adequate logical grounds. Generally the belief is initiated by some external event or some bodily change, or through some interpretation of thc behaviour of other persons;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 man falls on the road and a wagon very nearly passes over his legs, perhaps grazing them merely; when he is picked up, his legs are found to be paralysed. The event has induced the conviction that his legs are seriously injured, and this conviction operates so effectively as to realize itself. Or a savage, suffering some slight indisposition, interprets thc behaviour of some person in a way which leads him to the conviction that this person is compassing his death by means of magical practices; accordingly he lies down in deep despondency and, in the course of some days or weeks, dies, unless his friends succeed in buying off, or in some way counteracting, the malign influence. Or, as a more familiar and trivial instance of auto</w:t>
        <w:softHyphen/>
        <w:t>suggestion, we may cite the case of a man who, having taken a bread pill in the belief that it contains a strong purgative or emetic, realizes the results that he expects.</w:t>
      </w:r>
    </w:p>
    <w:p>
      <w:pPr>
        <w:pStyle w:val="Style2"/>
        <w:keepNext w:val="0"/>
        <w:keepLines w:val="0"/>
        <w:widowControl w:val="0"/>
        <w:shd w:val="clear" w:color="auto" w:fill="auto"/>
        <w:tabs>
          <w:tab w:pos="3893" w:val="left"/>
        </w:tabs>
        <w:bidi w:val="0"/>
        <w:spacing w:line="206" w:lineRule="auto"/>
        <w:ind w:left="0" w:firstLine="360"/>
        <w:jc w:val="left"/>
      </w:pPr>
      <w:r>
        <w:rPr>
          <w:smallCaps/>
          <w:color w:val="000000"/>
          <w:spacing w:val="0"/>
          <w:w w:val="100"/>
          <w:position w:val="0"/>
          <w:shd w:val="clear" w:color="auto" w:fill="auto"/>
          <w:lang w:val="en-US" w:eastAsia="en-US" w:bidi="en-US"/>
        </w:rPr>
        <w:t>Literature.</w:t>
      </w:r>
      <w:r>
        <w:rPr>
          <w:color w:val="000000"/>
          <w:spacing w:val="0"/>
          <w:w w:val="100"/>
          <w:position w:val="0"/>
          <w:sz w:val="15"/>
          <w:szCs w:val="15"/>
          <w:shd w:val="clear" w:color="auto" w:fill="auto"/>
          <w:lang w:val="en-US" w:eastAsia="en-US" w:bidi="en-US"/>
        </w:rPr>
        <w:t xml:space="preserve">—H. Bernheim, </w:t>
      </w:r>
      <w:r>
        <w:rPr>
          <w:i/>
          <w:iCs/>
          <w:color w:val="000000"/>
          <w:spacing w:val="0"/>
          <w:w w:val="100"/>
          <w:position w:val="0"/>
          <w:shd w:val="clear" w:color="auto" w:fill="auto"/>
          <w:lang w:val="en-US" w:eastAsia="en-US" w:bidi="en-US"/>
        </w:rPr>
        <w:t xml:space="preserve">De la Suggestion, </w:t>
      </w:r>
      <w:r>
        <w:rPr>
          <w:i/>
          <w:iCs/>
          <w:color w:val="000000"/>
          <w:spacing w:val="0"/>
          <w:w w:val="100"/>
          <w:position w:val="0"/>
          <w:shd w:val="clear" w:color="auto" w:fill="auto"/>
          <w:lang w:val="fr-FR" w:eastAsia="fr-FR" w:bidi="fr-FR"/>
        </w:rPr>
        <w:t xml:space="preserve">et de ses </w:t>
      </w:r>
      <w:r>
        <w:rPr>
          <w:i/>
          <w:iCs/>
          <w:color w:val="000000"/>
          <w:spacing w:val="0"/>
          <w:w w:val="100"/>
          <w:position w:val="0"/>
          <w:shd w:val="clear" w:color="auto" w:fill="auto"/>
          <w:lang w:val="en-US" w:eastAsia="en-US" w:bidi="en-US"/>
        </w:rPr>
        <w:t xml:space="preserve">applications </w:t>
      </w:r>
      <w:r>
        <w:rPr>
          <w:i/>
          <w:iCs/>
          <w:color w:val="000000"/>
          <w:spacing w:val="0"/>
          <w:w w:val="100"/>
          <w:position w:val="0"/>
          <w:shd w:val="clear" w:color="auto" w:fill="auto"/>
          <w:lang w:val="fr-FR" w:eastAsia="fr-FR" w:bidi="fr-FR"/>
        </w:rPr>
        <w:t>à la thérapeutique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(2nd ed., Paris, 1887;; Pierre Janet, </w:t>
      </w:r>
      <w:r>
        <w:rPr>
          <w:i/>
          <w:iCs/>
          <w:color w:val="000000"/>
          <w:spacing w:val="0"/>
          <w:w w:val="100"/>
          <w:position w:val="0"/>
          <w:shd w:val="clear" w:color="auto" w:fill="auto"/>
          <w:lang w:val="en-US" w:eastAsia="en-US" w:bidi="en-US"/>
        </w:rPr>
        <w:t>The Major Symptoms of Hysteria</w:t>
      </w:r>
      <w:r>
        <w:rPr>
          <w:color w:val="000000"/>
          <w:spacing w:val="0"/>
          <w:w w:val="100"/>
          <w:position w:val="0"/>
          <w:sz w:val="15"/>
          <w:szCs w:val="15"/>
          <w:shd w:val="clear" w:color="auto" w:fill="auto"/>
          <w:lang w:val="en-US" w:eastAsia="en-US" w:bidi="en-US"/>
        </w:rPr>
        <w:t xml:space="preserve"> (London, 1907) ; Otto Stoll, </w:t>
      </w:r>
      <w:r>
        <w:rPr>
          <w:i/>
          <w:iCs/>
          <w:color w:val="000000"/>
          <w:spacing w:val="0"/>
          <w:w w:val="100"/>
          <w:position w:val="0"/>
          <w:shd w:val="clear" w:color="auto" w:fill="auto"/>
          <w:lang w:val="en-US" w:eastAsia="en-US" w:bidi="en-US"/>
        </w:rPr>
        <w:t xml:space="preserve">Suggestion </w:t>
      </w:r>
      <w:r>
        <w:rPr>
          <w:i/>
          <w:iCs/>
          <w:color w:val="000000"/>
          <w:spacing w:val="0"/>
          <w:w w:val="100"/>
          <w:position w:val="0"/>
          <w:shd w:val="clear" w:color="auto" w:fill="auto"/>
          <w:lang w:val="de-DE" w:eastAsia="de-DE" w:bidi="de-DE"/>
        </w:rPr>
        <w:t xml:space="preserve">und Hypnotismus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der Völkerpsychologie</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(2nd ed., Leipzig, 1904); Boris Sidis, </w:t>
      </w:r>
      <w:r>
        <w:rPr>
          <w:i/>
          <w:iCs/>
          <w:color w:val="000000"/>
          <w:spacing w:val="0"/>
          <w:w w:val="100"/>
          <w:position w:val="0"/>
          <w:shd w:val="clear" w:color="auto" w:fill="auto"/>
          <w:lang w:val="en-US" w:eastAsia="en-US" w:bidi="en-US"/>
        </w:rPr>
        <w:t>The Psychology of Suggestion</w:t>
      </w:r>
      <w:r>
        <w:rPr>
          <w:color w:val="000000"/>
          <w:spacing w:val="0"/>
          <w:w w:val="100"/>
          <w:position w:val="0"/>
          <w:sz w:val="15"/>
          <w:szCs w:val="15"/>
          <w:shd w:val="clear" w:color="auto" w:fill="auto"/>
          <w:lang w:val="en-US" w:eastAsia="en-US" w:bidi="en-US"/>
        </w:rPr>
        <w:t xml:space="preserve"> (New York, 1898); W. Μ. Keatinge, </w:t>
      </w:r>
      <w:r>
        <w:rPr>
          <w:i/>
          <w:iCs/>
          <w:color w:val="000000"/>
          <w:spacing w:val="0"/>
          <w:w w:val="100"/>
          <w:position w:val="0"/>
          <w:shd w:val="clear" w:color="auto" w:fill="auto"/>
          <w:lang w:val="en-US" w:eastAsia="en-US" w:bidi="en-US"/>
        </w:rPr>
        <w:t>Suggestion in Education</w:t>
      </w:r>
      <w:r>
        <w:rPr>
          <w:color w:val="000000"/>
          <w:spacing w:val="0"/>
          <w:w w:val="100"/>
          <w:position w:val="0"/>
          <w:sz w:val="15"/>
          <w:szCs w:val="15"/>
          <w:shd w:val="clear" w:color="auto" w:fill="auto"/>
          <w:lang w:val="en-US" w:eastAsia="en-US" w:bidi="en-US"/>
        </w:rPr>
        <w:t xml:space="preserve"> (London, 1907) ; </w:t>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en-US" w:eastAsia="en-US" w:bidi="en-US"/>
        </w:rPr>
        <w:t xml:space="preserve">W. H. Myers, </w:t>
      </w:r>
      <w:r>
        <w:rPr>
          <w:i/>
          <w:iCs/>
          <w:color w:val="000000"/>
          <w:spacing w:val="0"/>
          <w:w w:val="100"/>
          <w:position w:val="0"/>
          <w:shd w:val="clear" w:color="auto" w:fill="auto"/>
          <w:lang w:val="en-US" w:eastAsia="en-US" w:bidi="en-US"/>
        </w:rPr>
        <w:t>Human Personality and its Survival of Bodily Death</w:t>
      </w:r>
      <w:r>
        <w:rPr>
          <w:color w:val="000000"/>
          <w:spacing w:val="0"/>
          <w:w w:val="100"/>
          <w:position w:val="0"/>
          <w:sz w:val="15"/>
          <w:szCs w:val="15"/>
          <w:shd w:val="clear" w:color="auto" w:fill="auto"/>
          <w:lang w:val="en-US" w:eastAsia="en-US" w:bidi="en-US"/>
        </w:rPr>
        <w:t xml:space="preserve"> (London, 1903; 2nd ed., abridged, 1907); </w:t>
      </w:r>
      <w:r>
        <w:rPr>
          <w:color w:val="000000"/>
          <w:spacing w:val="0"/>
          <w:w w:val="100"/>
          <w:position w:val="0"/>
          <w:sz w:val="15"/>
          <w:szCs w:val="15"/>
          <w:shd w:val="clear" w:color="auto" w:fill="auto"/>
          <w:lang w:val="fr-FR" w:eastAsia="fr-FR" w:bidi="fr-FR"/>
        </w:rPr>
        <w:t xml:space="preserve">A. Binet, </w:t>
      </w:r>
      <w:r>
        <w:rPr>
          <w:i/>
          <w:iCs/>
          <w:color w:val="000000"/>
          <w:spacing w:val="0"/>
          <w:w w:val="100"/>
          <w:position w:val="0"/>
          <w:shd w:val="clear" w:color="auto" w:fill="auto"/>
          <w:lang w:val="fr-FR" w:eastAsia="fr-FR" w:bidi="fr-FR"/>
        </w:rPr>
        <w:t>La Suggestibilité</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(Paris, 1900). See also literature under </w:t>
      </w:r>
      <w:r>
        <w:rPr>
          <w:smallCaps/>
          <w:color w:val="000000"/>
          <w:spacing w:val="0"/>
          <w:w w:val="100"/>
          <w:position w:val="0"/>
          <w:shd w:val="clear" w:color="auto" w:fill="auto"/>
          <w:lang w:val="en-US" w:eastAsia="en-US" w:bidi="en-US"/>
        </w:rPr>
        <w:t>Hypnotism.</w:t>
      </w:r>
      <w:r>
        <w:rPr>
          <w:color w:val="000000"/>
          <w:spacing w:val="0"/>
          <w:w w:val="100"/>
          <w:position w:val="0"/>
          <w:sz w:val="15"/>
          <w:szCs w:val="15"/>
          <w:shd w:val="clear" w:color="auto" w:fill="auto"/>
          <w:lang w:val="en-US" w:eastAsia="en-US" w:bidi="en-US"/>
        </w:rPr>
        <w:tab/>
        <w:t xml:space="preserve">(W. </w:t>
      </w:r>
      <w:r>
        <w:rPr>
          <w:smallCaps/>
          <w:color w:val="000000"/>
          <w:spacing w:val="0"/>
          <w:w w:val="100"/>
          <w:position w:val="0"/>
          <w:shd w:val="clear" w:color="auto" w:fill="auto"/>
          <w:lang w:val="en-US" w:eastAsia="en-US" w:bidi="en-US"/>
        </w:rPr>
        <w:t>McD.)</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SUHL, </w:t>
      </w:r>
      <w:r>
        <w:rPr>
          <w:color w:val="000000"/>
          <w:spacing w:val="0"/>
          <w:w w:val="100"/>
          <w:position w:val="0"/>
          <w:shd w:val="clear" w:color="auto" w:fill="auto"/>
          <w:lang w:val="en-US" w:eastAsia="en-US" w:bidi="en-US"/>
        </w:rPr>
        <w:t xml:space="preserve">a town of Germany, in the province of Prussian Saxony, picturesquely situated on the </w:t>
      </w:r>
      <w:r>
        <w:rPr>
          <w:color w:val="000000"/>
          <w:spacing w:val="0"/>
          <w:w w:val="100"/>
          <w:position w:val="0"/>
          <w:shd w:val="clear" w:color="auto" w:fill="auto"/>
          <w:lang w:val="de-DE" w:eastAsia="de-DE" w:bidi="de-DE"/>
        </w:rPr>
        <w:t xml:space="preserve">Lauter, </w:t>
      </w:r>
      <w:r>
        <w:rPr>
          <w:color w:val="000000"/>
          <w:spacing w:val="0"/>
          <w:w w:val="100"/>
          <w:position w:val="0"/>
          <w:shd w:val="clear" w:color="auto" w:fill="auto"/>
          <w:lang w:val="en-US" w:eastAsia="en-US" w:bidi="en-US"/>
        </w:rPr>
        <w:t>on the southern slope of the Thuringian Forest, 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N.E. of Meiningen and 29 m. S.W. of Erfurt by rail. Pop. (1905), 13,814. The armourers of </w:t>
      </w:r>
      <w:r>
        <w:rPr>
          <w:color w:val="000000"/>
          <w:spacing w:val="0"/>
          <w:w w:val="100"/>
          <w:position w:val="0"/>
          <w:shd w:val="clear" w:color="auto" w:fill="auto"/>
          <w:lang w:val="de-DE" w:eastAsia="de-DE" w:bidi="de-DE"/>
        </w:rPr>
        <w:t xml:space="preserve">Suhl </w:t>
      </w:r>
      <w:r>
        <w:rPr>
          <w:color w:val="000000"/>
          <w:spacing w:val="0"/>
          <w:w w:val="100"/>
          <w:position w:val="0"/>
          <w:shd w:val="clear" w:color="auto" w:fill="auto"/>
          <w:lang w:val="en-US" w:eastAsia="en-US" w:bidi="en-US"/>
        </w:rPr>
        <w:t xml:space="preserve">are mentioned as early as the 9th century, but they enjoyed their highest vogue from 155o to 1634. The knights of south Germany especially prized the swords and armour of this town, and many of the weapons used in campaigns against the Turks and in the Seven Years’ War arc said to have been manufactured at </w:t>
      </w:r>
      <w:r>
        <w:rPr>
          <w:color w:val="000000"/>
          <w:spacing w:val="0"/>
          <w:w w:val="100"/>
          <w:position w:val="0"/>
          <w:shd w:val="clear" w:color="auto" w:fill="auto"/>
          <w:lang w:val="de-DE" w:eastAsia="de-DE" w:bidi="de-DE"/>
        </w:rPr>
        <w:t xml:space="preserve">Suhl. </w:t>
      </w:r>
      <w:r>
        <w:rPr>
          <w:color w:val="000000"/>
          <w:spacing w:val="0"/>
          <w:w w:val="100"/>
          <w:position w:val="0"/>
          <w:shd w:val="clear" w:color="auto" w:fill="auto"/>
          <w:lang w:val="en-US" w:eastAsia="en-US" w:bidi="en-US"/>
        </w:rPr>
        <w:t>It has suffered considerably in modern times from the competition of other towns in this industry, especially since the introduction of the brcech-loading rifle. It still contains, however, large factories for firearms military and sporting, and side arms, besides ironworks, machine-works, potteries and tanneries. The once considerable manufacture of fustian has declined. A brine spring (Soolquelle) at the foot of the neigh</w:t>
        <w:softHyphen/>
        <w:t>bouring Domberg is said to have given name to the town.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Suhl, </w:t>
      </w:r>
      <w:r>
        <w:rPr>
          <w:color w:val="000000"/>
          <w:spacing w:val="0"/>
          <w:w w:val="100"/>
          <w:position w:val="0"/>
          <w:shd w:val="clear" w:color="auto" w:fill="auto"/>
          <w:lang w:val="en-US" w:eastAsia="en-US" w:bidi="en-US"/>
        </w:rPr>
        <w:t>which obtained civic rights in 1527, belonged to the principality of Henneberg, and formed part of the possessions of the kingdom of Saxony assigned to Prussia by the Congress of Vienna in 1815.</w:t>
      </w:r>
    </w:p>
    <w:p>
      <w:pPr>
        <w:pStyle w:val="Style2"/>
        <w:keepNext w:val="0"/>
        <w:keepLines w:val="0"/>
        <w:widowControl w:val="0"/>
        <w:shd w:val="clear" w:color="auto" w:fill="auto"/>
        <w:bidi w:val="0"/>
        <w:spacing w:line="26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fr-FR" w:eastAsia="fr-FR" w:bidi="fr-FR"/>
        </w:rPr>
        <w:t xml:space="preserve">Werther, </w:t>
      </w:r>
      <w:r>
        <w:rPr>
          <w:i/>
          <w:iCs/>
          <w:color w:val="000000"/>
          <w:spacing w:val="0"/>
          <w:w w:val="100"/>
          <w:position w:val="0"/>
          <w:sz w:val="16"/>
          <w:szCs w:val="16"/>
          <w:shd w:val="clear" w:color="auto" w:fill="auto"/>
          <w:lang w:val="de-DE" w:eastAsia="de-DE" w:bidi="de-DE"/>
        </w:rPr>
        <w:t xml:space="preserve">Chronik der Stadt </w:t>
      </w:r>
      <w:r>
        <w:rPr>
          <w:i/>
          <w:iCs/>
          <w:color w:val="000000"/>
          <w:spacing w:val="0"/>
          <w:w w:val="100"/>
          <w:position w:val="0"/>
          <w:sz w:val="16"/>
          <w:szCs w:val="16"/>
          <w:shd w:val="clear" w:color="auto" w:fill="auto"/>
          <w:lang w:val="en-US" w:eastAsia="en-US" w:bidi="en-US"/>
        </w:rPr>
        <w:t xml:space="preserve">Suhl </w:t>
      </w:r>
      <w:r>
        <w:rPr>
          <w:color w:val="000000"/>
          <w:spacing w:val="0"/>
          <w:w w:val="100"/>
          <w:position w:val="0"/>
          <w:sz w:val="16"/>
          <w:szCs w:val="16"/>
          <w:shd w:val="clear" w:color="auto" w:fill="auto"/>
          <w:lang w:val="en-US" w:eastAsia="en-US" w:bidi="en-US"/>
        </w:rPr>
        <w:t>(2</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de-DE" w:eastAsia="de-DE" w:bidi="de-DE"/>
        </w:rPr>
        <w:t xml:space="preserve">Suhl, </w:t>
      </w:r>
      <w:r>
        <w:rPr>
          <w:color w:val="000000"/>
          <w:spacing w:val="0"/>
          <w:w w:val="100"/>
          <w:position w:val="0"/>
          <w:sz w:val="15"/>
          <w:szCs w:val="15"/>
          <w:shd w:val="clear" w:color="auto" w:fill="auto"/>
          <w:lang w:val="en-US" w:eastAsia="en-US" w:bidi="en-US"/>
        </w:rPr>
        <w:t>1846-1847).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fr-FR" w:eastAsia="fr-FR" w:bidi="fr-FR"/>
        </w:rPr>
        <w:t xml:space="preserve">SUICIDE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en-US" w:eastAsia="en-US" w:bidi="en-US"/>
        </w:rPr>
        <w:t>sui,</w:t>
      </w:r>
      <w:r>
        <w:rPr>
          <w:color w:val="000000"/>
          <w:spacing w:val="0"/>
          <w:w w:val="100"/>
          <w:position w:val="0"/>
          <w:shd w:val="clear" w:color="auto" w:fill="auto"/>
          <w:lang w:val="en-US" w:eastAsia="en-US" w:bidi="en-US"/>
        </w:rPr>
        <w:t xml:space="preserve"> of oneself, and </w:t>
      </w:r>
      <w:r>
        <w:rPr>
          <w:i/>
          <w:iCs/>
          <w:color w:val="000000"/>
          <w:spacing w:val="0"/>
          <w:w w:val="100"/>
          <w:position w:val="0"/>
          <w:shd w:val="clear" w:color="auto" w:fill="auto"/>
          <w:lang w:val="en-US" w:eastAsia="en-US" w:bidi="en-US"/>
        </w:rPr>
        <w:t>cidium,</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 xml:space="preserve">caedere, </w:t>
      </w:r>
      <w:r>
        <w:rPr>
          <w:color w:val="000000"/>
          <w:spacing w:val="0"/>
          <w:w w:val="100"/>
          <w:position w:val="0"/>
          <w:shd w:val="clear" w:color="auto" w:fill="auto"/>
          <w:lang w:val="en-US" w:eastAsia="en-US" w:bidi="en-US"/>
        </w:rPr>
        <w:t xml:space="preserve">to kill), the act of intentionally destroying one's own life. The phenomenon of suicide has at all times attracted a large amount of attention from moralists and social investigators. Its existence is looked upon, in Western civilization, as a sign of the presence of maladies in the body politic which, whether remediable or not, deserve careful examination. It is, of course, impossible to compare Western civilization in this respect with, say, Japan, where suicide in certain circumstances is part of a distinct moral creed. In Christian ethics and Christian law it is wrong, indeed illegal, as a </w:t>
      </w:r>
      <w:r>
        <w:rPr>
          <w:i/>
          <w:iCs/>
          <w:color w:val="000000"/>
          <w:spacing w:val="0"/>
          <w:w w:val="100"/>
          <w:position w:val="0"/>
          <w:shd w:val="clear" w:color="auto" w:fill="auto"/>
          <w:lang w:val="en-US" w:eastAsia="en-US" w:bidi="en-US"/>
        </w:rPr>
        <w:t>felo de se,</w:t>
      </w:r>
      <w:r>
        <w:rPr>
          <w:color w:val="000000"/>
          <w:spacing w:val="0"/>
          <w:w w:val="100"/>
          <w:position w:val="0"/>
          <w:shd w:val="clear" w:color="auto" w:fill="auto"/>
          <w:lang w:val="en-US" w:eastAsia="en-US" w:bidi="en-US"/>
        </w:rPr>
        <w:t xml:space="preserve"> self-murder. It is within comparatively recent years that the study of suicide by means of the vital statistics of various European countries has demonstrated that while the act may be regarded as a purely voluntary one, yet that suicide as a whole conforms there to certain general laws, and is influenced by conditions other than mere individual circumstances or surroundings. Thus it can be shown that each country has a different suicide-rate, and that while the rate for each country may fluctuate from year to year, yet it maintains practically the same relative proportions to the rates of other </w:t>
      </w:r>
      <w:r>
        <w:rPr>
          <w:color w:val="000000"/>
          <w:spacing w:val="0"/>
          <w:w w:val="100"/>
          <w:position w:val="0"/>
          <w:shd w:val="clear" w:color="auto" w:fill="auto"/>
          <w:lang w:val="en-US" w:eastAsia="en-US" w:bidi="en-US"/>
        </w:rPr>
        <w:t xml:space="preserve">countries. The following table shows the suicide-rate for various European countries </w:t>
      </w:r>
      <w:r>
        <w:rPr>
          <w:color w:val="000000"/>
          <w:spacing w:val="0"/>
          <w:w w:val="100"/>
          <w:position w:val="0"/>
          <w:shd w:val="clear" w:color="auto" w:fill="auto"/>
          <w:lang w:val="fr-FR" w:eastAsia="fr-FR" w:bidi="fr-FR"/>
        </w:rPr>
        <w:t>(Bertillon).</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57" w:lineRule="auto"/>
        <w:ind w:left="0" w:firstLine="0"/>
        <w:jc w:val="left"/>
        <w:rPr>
          <w:sz w:val="15"/>
          <w:szCs w:val="15"/>
        </w:rPr>
      </w:pPr>
      <w:r>
        <w:rPr>
          <w:smallCaps/>
          <w:color w:val="000000"/>
          <w:spacing w:val="0"/>
          <w:w w:val="100"/>
          <w:position w:val="0"/>
          <w:sz w:val="16"/>
          <w:szCs w:val="16"/>
          <w:shd w:val="clear" w:color="auto" w:fill="auto"/>
          <w:lang w:val="en-US" w:eastAsia="en-US" w:bidi="en-US"/>
        </w:rPr>
        <w:t>Table</w:t>
      </w:r>
      <w:r>
        <w:rPr>
          <w:color w:val="000000"/>
          <w:spacing w:val="0"/>
          <w:w w:val="100"/>
          <w:position w:val="0"/>
          <w:sz w:val="15"/>
          <w:szCs w:val="15"/>
          <w:shd w:val="clear" w:color="auto" w:fill="auto"/>
          <w:lang w:val="en-US" w:eastAsia="en-US" w:bidi="en-US"/>
        </w:rPr>
        <w:t xml:space="preserve"> I.</w:t>
      </w:r>
    </w:p>
    <w:tbl>
      <w:tblPr>
        <w:tblOverlap w:val="never"/>
        <w:jc w:val="left"/>
        <w:tblLayout w:type="fixed"/>
      </w:tblPr>
      <w:tblGrid>
        <w:gridCol w:w="2350"/>
        <w:gridCol w:w="1250"/>
        <w:gridCol w:w="1231"/>
      </w:tblGrid>
      <w:tr>
        <w:trPr>
          <w:trHeight w:val="711"/>
        </w:trPr>
        <w:tc>
          <w:tcPr>
            <w:tcBorders>
              <w:top w:val="single" w:sz="4"/>
              <w:left w:val="single" w:sz="4"/>
            </w:tcBorders>
            <w:shd w:val="clear" w:color="auto" w:fill="EEE9C4"/>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Country.</w:t>
            </w:r>
          </w:p>
        </w:tc>
        <w:tc>
          <w:tcPr>
            <w:tcBorders>
              <w:top w:val="single" w:sz="4"/>
              <w:left w:val="single" w:sz="4"/>
            </w:tcBorders>
            <w:shd w:val="clear" w:color="auto" w:fill="EEE9C4"/>
            <w:vAlign w:val="center"/>
          </w:tcPr>
          <w:p>
            <w:pPr>
              <w:pStyle w:val="Style8"/>
              <w:keepNext w:val="0"/>
              <w:keepLines w:val="0"/>
              <w:widowControl w:val="0"/>
              <w:shd w:val="clear" w:color="auto" w:fill="auto"/>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Period of Observation.</w:t>
            </w:r>
          </w:p>
        </w:tc>
        <w:tc>
          <w:tcPr>
            <w:tcBorders>
              <w:top w:val="single" w:sz="4"/>
              <w:left w:val="single" w:sz="4"/>
              <w:right w:val="single" w:sz="4"/>
            </w:tcBorders>
            <w:shd w:val="clear" w:color="auto" w:fill="EEE9C4"/>
            <w:vAlign w:val="top"/>
          </w:tcPr>
          <w:p>
            <w:pPr>
              <w:pStyle w:val="Style8"/>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Annual Number of Suicides per Million Inhabitants.</w:t>
            </w:r>
          </w:p>
        </w:tc>
      </w:tr>
      <w:tr>
        <w:trPr>
          <w:trHeight w:val="265"/>
        </w:trPr>
        <w:tc>
          <w:tcPr>
            <w:tcBorders>
              <w:top w:val="single" w:sz="4"/>
              <w:left w:val="single" w:sz="4"/>
            </w:tcBorders>
            <w:shd w:val="clear" w:color="auto" w:fill="EEE9C4"/>
            <w:vAlign w:val="bottom"/>
          </w:tcPr>
          <w:p>
            <w:pPr>
              <w:pStyle w:val="Style8"/>
              <w:keepNext w:val="0"/>
              <w:keepLines w:val="0"/>
              <w:widowControl w:val="0"/>
              <w:shd w:val="clear" w:color="auto" w:fill="auto"/>
              <w:tabs>
                <w:tab w:leader="dot" w:pos="1668"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Saxony </w:t>
              <w:tab/>
            </w:r>
          </w:p>
        </w:tc>
        <w:tc>
          <w:tcPr>
            <w:tcBorders>
              <w:top w:val="single" w:sz="4"/>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1878-1882</w:t>
            </w:r>
          </w:p>
        </w:tc>
        <w:tc>
          <w:tcPr>
            <w:tcBorders>
              <w:top w:val="single" w:sz="4"/>
              <w:left w:val="single" w:sz="4"/>
              <w:righ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392</w:t>
            </w:r>
          </w:p>
        </w:tc>
      </w:tr>
      <w:tr>
        <w:trPr>
          <w:trHeight w:val="144"/>
        </w:trPr>
        <w:tc>
          <w:tcPr>
            <w:tcBorders>
              <w:left w:val="single" w:sz="4"/>
            </w:tcBorders>
            <w:shd w:val="clear" w:color="auto" w:fill="EEE9C4"/>
            <w:vAlign w:val="top"/>
          </w:tcPr>
          <w:p>
            <w:pPr>
              <w:pStyle w:val="Style8"/>
              <w:keepNext w:val="0"/>
              <w:keepLines w:val="0"/>
              <w:widowControl w:val="0"/>
              <w:shd w:val="clear" w:color="auto" w:fill="auto"/>
              <w:tabs>
                <w:tab w:pos="1143" w:val="left"/>
                <w:tab w:pos="1389" w:val="left"/>
                <w:tab w:pos="1635"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Denmark .</w:t>
              <w:tab/>
              <w:t>.</w:t>
              <w:tab/>
              <w:t>.</w:t>
              <w:tab/>
              <w:t>.</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1880-1882</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251</w:t>
            </w:r>
          </w:p>
        </w:tc>
      </w:tr>
      <w:tr>
        <w:trPr>
          <w:trHeight w:val="158"/>
        </w:trPr>
        <w:tc>
          <w:tcPr>
            <w:tcBorders>
              <w:left w:val="single" w:sz="4"/>
            </w:tcBorders>
            <w:shd w:val="clear" w:color="auto" w:fill="EEE9C4"/>
            <w:vAlign w:val="bottom"/>
          </w:tcPr>
          <w:p>
            <w:pPr>
              <w:pStyle w:val="Style8"/>
              <w:keepNext w:val="0"/>
              <w:keepLines w:val="0"/>
              <w:widowControl w:val="0"/>
              <w:shd w:val="clear" w:color="auto" w:fill="auto"/>
              <w:tabs>
                <w:tab w:pos="1161"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Switzerland</w:t>
              <w:tab/>
              <w:t>...</w:t>
            </w:r>
          </w:p>
        </w:tc>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1878-1882</w:t>
            </w:r>
          </w:p>
        </w:tc>
        <w:tc>
          <w:tcPr>
            <w:tcBorders>
              <w:left w:val="single" w:sz="4"/>
              <w:righ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239</w:t>
            </w:r>
          </w:p>
        </w:tc>
      </w:tr>
      <w:tr>
        <w:trPr>
          <w:trHeight w:val="149"/>
        </w:trPr>
        <w:tc>
          <w:tcPr>
            <w:tcBorders>
              <w:left w:val="single" w:sz="4"/>
            </w:tcBorders>
            <w:shd w:val="clear" w:color="auto" w:fill="EEE9C4"/>
            <w:vAlign w:val="top"/>
          </w:tcPr>
          <w:p>
            <w:pPr>
              <w:pStyle w:val="Style8"/>
              <w:keepNext w:val="0"/>
              <w:keepLines w:val="0"/>
              <w:widowControl w:val="0"/>
              <w:shd w:val="clear" w:color="auto" w:fill="auto"/>
              <w:tabs>
                <w:tab w:pos="897"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Baden .</w:t>
              <w:tab/>
              <w:t>.</w:t>
            </w:r>
          </w:p>
        </w:tc>
        <w:tc>
          <w:tcPr>
            <w:vMerge w:val="restart"/>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1877-1881</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198</w:t>
            </w:r>
          </w:p>
        </w:tc>
      </w:tr>
      <w:tr>
        <w:trPr>
          <w:trHeight w:val="158"/>
        </w:trPr>
        <w:tc>
          <w:tcPr>
            <w:tcBorders>
              <w:left w:val="single" w:sz="4"/>
            </w:tcBorders>
            <w:shd w:val="clear" w:color="auto" w:fill="EEE9C4"/>
            <w:vAlign w:val="bottom"/>
          </w:tcPr>
          <w:p>
            <w:pPr>
              <w:pStyle w:val="Style8"/>
              <w:keepNext w:val="0"/>
              <w:keepLines w:val="0"/>
              <w:widowControl w:val="0"/>
              <w:shd w:val="clear" w:color="auto" w:fill="auto"/>
              <w:tabs>
                <w:tab w:pos="1640"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Württemberg</w:t>
              <w:tab/>
              <w:t>...</w:t>
            </w:r>
          </w:p>
        </w:tc>
        <w:tc>
          <w:tcPr>
            <w:vMerge/>
            <w:tcBorders>
              <w:left w:val="single" w:sz="4"/>
            </w:tcBorders>
            <w:shd w:val="clear" w:color="auto" w:fill="EEE9C4"/>
            <w:vAlign w:val="bottom"/>
          </w:tcPr>
          <w:p>
            <w:pPr/>
          </w:p>
        </w:tc>
        <w:tc>
          <w:tcPr>
            <w:tcBorders>
              <w:left w:val="single" w:sz="4"/>
              <w:righ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w:t>
            </w:r>
          </w:p>
        </w:tc>
      </w:tr>
      <w:tr>
        <w:trPr>
          <w:trHeight w:val="144"/>
        </w:trPr>
        <w:tc>
          <w:tcPr>
            <w:tcBorders>
              <w:left w:val="single" w:sz="4"/>
            </w:tcBorders>
            <w:shd w:val="clear" w:color="auto" w:fill="EEE9C4"/>
            <w:vAlign w:val="top"/>
          </w:tcPr>
          <w:p>
            <w:pPr>
              <w:pStyle w:val="Style8"/>
              <w:keepNext w:val="0"/>
              <w:keepLines w:val="0"/>
              <w:widowControl w:val="0"/>
              <w:shd w:val="clear" w:color="auto" w:fill="auto"/>
              <w:tabs>
                <w:tab w:leader="dot" w:pos="2155"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France</w:t>
              <w:tab/>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1878-1882</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180</w:t>
            </w:r>
          </w:p>
        </w:tc>
      </w:tr>
      <w:tr>
        <w:trPr>
          <w:trHeight w:val="153"/>
        </w:trPr>
        <w:tc>
          <w:tcPr>
            <w:tcBorders>
              <w:left w:val="single" w:sz="4"/>
            </w:tcBorders>
            <w:shd w:val="clear" w:color="auto" w:fill="EEE9C4"/>
            <w:vAlign w:val="top"/>
          </w:tcPr>
          <w:p>
            <w:pPr>
              <w:pStyle w:val="Style8"/>
              <w:keepNext w:val="0"/>
              <w:keepLines w:val="0"/>
              <w:widowControl w:val="0"/>
              <w:shd w:val="clear" w:color="auto" w:fill="auto"/>
              <w:tabs>
                <w:tab w:leader="dot" w:pos="2151"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Prussia</w:t>
              <w:tab/>
            </w:r>
          </w:p>
        </w:tc>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166</w:t>
            </w:r>
          </w:p>
        </w:tc>
      </w:tr>
      <w:tr>
        <w:trPr>
          <w:trHeight w:val="163"/>
        </w:trPr>
        <w:tc>
          <w:tcPr>
            <w:tcBorders>
              <w:left w:val="single" w:sz="4"/>
            </w:tcBorders>
            <w:shd w:val="clear" w:color="auto" w:fill="EEE9C4"/>
            <w:vAlign w:val="top"/>
          </w:tcPr>
          <w:p>
            <w:pPr>
              <w:pStyle w:val="Style8"/>
              <w:keepNext w:val="0"/>
              <w:keepLines w:val="0"/>
              <w:widowControl w:val="0"/>
              <w:shd w:val="clear" w:color="auto" w:fill="auto"/>
              <w:tabs>
                <w:tab w:pos="897"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Belgium</w:t>
              <w:tab/>
              <w:t>.....</w:t>
            </w:r>
          </w:p>
        </w:tc>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w:t>
            </w:r>
          </w:p>
        </w:tc>
      </w:tr>
      <w:tr>
        <w:trPr>
          <w:trHeight w:val="135"/>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Sweden ......</w:t>
            </w:r>
          </w:p>
        </w:tc>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92</w:t>
            </w:r>
          </w:p>
        </w:tc>
      </w:tr>
      <w:tr>
        <w:trPr>
          <w:trHeight w:val="163"/>
        </w:trPr>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England and Wales</w:t>
            </w:r>
          </w:p>
        </w:tc>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EEE9C4"/>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75</w:t>
            </w:r>
          </w:p>
        </w:tc>
      </w:tr>
      <w:tr>
        <w:trPr>
          <w:trHeight w:val="144"/>
        </w:trPr>
        <w:tc>
          <w:tcPr>
            <w:tcBorders>
              <w:left w:val="single" w:sz="4"/>
            </w:tcBorders>
            <w:shd w:val="clear" w:color="auto" w:fill="EEE9C4"/>
            <w:vAlign w:val="bottom"/>
          </w:tcPr>
          <w:p>
            <w:pPr>
              <w:pStyle w:val="Style8"/>
              <w:keepNext w:val="0"/>
              <w:keepLines w:val="0"/>
              <w:widowControl w:val="0"/>
              <w:shd w:val="clear" w:color="auto" w:fill="auto"/>
              <w:tabs>
                <w:tab w:pos="901" w:val="left"/>
                <w:tab w:leader="dot" w:pos="2151"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Norway</w:t>
              <w:tab/>
              <w:tab/>
            </w:r>
          </w:p>
        </w:tc>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EEE9C4"/>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69</w:t>
            </w:r>
          </w:p>
        </w:tc>
      </w:tr>
      <w:tr>
        <w:trPr>
          <w:trHeight w:val="149"/>
        </w:trPr>
        <w:tc>
          <w:tcPr>
            <w:tcBorders>
              <w:left w:val="single" w:sz="4"/>
            </w:tcBorders>
            <w:shd w:val="clear" w:color="auto" w:fill="EEE9C4"/>
            <w:vAlign w:val="bottom"/>
          </w:tcPr>
          <w:p>
            <w:pPr>
              <w:pStyle w:val="Style8"/>
              <w:keepNext w:val="0"/>
              <w:keepLines w:val="0"/>
              <w:widowControl w:val="0"/>
              <w:shd w:val="clear" w:color="auto" w:fill="auto"/>
              <w:tabs>
                <w:tab w:leader="dot" w:pos="1914"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Scotland</w:t>
              <w:tab/>
            </w:r>
          </w:p>
        </w:tc>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1877-188r</w:t>
            </w:r>
          </w:p>
        </w:tc>
        <w:tc>
          <w:tcPr>
            <w:tcBorders>
              <w:left w:val="single" w:sz="4"/>
              <w:righ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49</w:t>
            </w:r>
          </w:p>
        </w:tc>
      </w:tr>
      <w:tr>
        <w:trPr>
          <w:trHeight w:val="214"/>
        </w:trPr>
        <w:tc>
          <w:tcPr>
            <w:tcBorders>
              <w:left w:val="single" w:sz="4"/>
              <w:bottom w:val="single" w:sz="4"/>
            </w:tcBorders>
            <w:shd w:val="clear" w:color="auto" w:fill="EEE9C4"/>
            <w:vAlign w:val="top"/>
          </w:tcPr>
          <w:p>
            <w:pPr>
              <w:pStyle w:val="Style8"/>
              <w:keepNext w:val="0"/>
              <w:keepLines w:val="0"/>
              <w:widowControl w:val="0"/>
              <w:shd w:val="clear" w:color="auto" w:fill="auto"/>
              <w:tabs>
                <w:tab w:leader="dot" w:pos="1905"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Ireland</w:t>
              <w:tab/>
            </w:r>
          </w:p>
        </w:tc>
        <w:tc>
          <w:tcPr>
            <w:tcBorders>
              <w:left w:val="single" w:sz="4"/>
              <w:bottom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1878-1882</w:t>
            </w:r>
          </w:p>
        </w:tc>
        <w:tc>
          <w:tcPr>
            <w:tcBorders>
              <w:left w:val="single" w:sz="4"/>
              <w:bottom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17</w:t>
            </w:r>
          </w:p>
        </w:tc>
      </w:tr>
    </w:tbl>
    <w:p>
      <w:pPr>
        <w:widowControl w:val="0"/>
        <w:spacing w:after="39" w:line="1" w:lineRule="exact"/>
      </w:pP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addition to furnishing materials for an approximately accurate estimate of the number of suicides which will occur in any country in a year, statistics have demonstrated that the proportion of male to female suicides is practically the same from year to year, viz. 3 or 4 males to 1 female; that it is possible to predict the month of greatest prevalence, the modes of death adopted by men on the one hand and women on the other, and even the relative frequency of suicide amongst persons following different professions and employments; and that in most of the countries of Europe the suicide-rate is increasing. In England and Wales the annual death-rate per million from suicide has steadily advanced, as is shown by the following figures for quinquennial periods:—</w:t>
      </w:r>
    </w:p>
    <w:p>
      <w:pPr>
        <w:pStyle w:val="Style2"/>
        <w:keepNext w:val="0"/>
        <w:keepLines w:val="0"/>
        <w:widowControl w:val="0"/>
        <w:shd w:val="clear" w:color="auto" w:fill="auto"/>
        <w:tabs>
          <w:tab w:pos="2081" w:val="left"/>
          <w:tab w:pos="2317" w:val="left"/>
          <w:tab w:pos="2550" w:val="left"/>
        </w:tabs>
        <w:bidi w:val="0"/>
        <w:spacing w:line="266" w:lineRule="auto"/>
        <w:ind w:left="0" w:firstLine="0"/>
        <w:jc w:val="left"/>
        <w:rPr>
          <w:sz w:val="15"/>
          <w:szCs w:val="15"/>
        </w:rPr>
      </w:pPr>
      <w:r>
        <w:rPr>
          <w:color w:val="000000"/>
          <w:spacing w:val="0"/>
          <w:w w:val="100"/>
          <w:position w:val="0"/>
          <w:sz w:val="15"/>
          <w:szCs w:val="15"/>
          <w:shd w:val="clear" w:color="auto" w:fill="auto"/>
          <w:lang w:val="en-US" w:eastAsia="en-US" w:bidi="en-US"/>
        </w:rPr>
        <w:t>1861-1865</w:t>
        <w:tab/>
        <w:t>.</w:t>
        <w:tab/>
        <w:t>.</w:t>
        <w:tab/>
        <w:t>65 per million living.</w:t>
      </w:r>
    </w:p>
    <w:p>
      <w:pPr>
        <w:pStyle w:val="Style2"/>
        <w:keepNext w:val="0"/>
        <w:keepLines w:val="0"/>
        <w:widowControl w:val="0"/>
        <w:shd w:val="clear" w:color="auto" w:fill="auto"/>
        <w:tabs>
          <w:tab w:pos="2317" w:val="left"/>
          <w:tab w:pos="3175" w:val="left"/>
          <w:tab w:pos="3747" w:val="left"/>
        </w:tabs>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1866-1870</w:t>
        <w:tab/>
        <w:t>. 66</w:t>
        <w:tab/>
      </w:r>
      <w:r>
        <w:rPr>
          <w:color w:val="000000"/>
          <w:spacing w:val="0"/>
          <w:w w:val="100"/>
          <w:position w:val="0"/>
          <w:sz w:val="15"/>
          <w:szCs w:val="15"/>
          <w:shd w:val="clear" w:color="auto" w:fill="auto"/>
          <w:lang w:val="de-DE" w:eastAsia="de-DE" w:bidi="de-DE"/>
        </w:rPr>
        <w:t>„</w:t>
        <w:tab/>
        <w:t>„</w:t>
      </w:r>
    </w:p>
    <w:p>
      <w:pPr>
        <w:pStyle w:val="Style2"/>
        <w:keepNext w:val="0"/>
        <w:keepLines w:val="0"/>
        <w:widowControl w:val="0"/>
        <w:shd w:val="clear" w:color="auto" w:fill="auto"/>
        <w:tabs>
          <w:tab w:pos="2233" w:val="right"/>
          <w:tab w:pos="2395" w:val="right"/>
          <w:tab w:pos="2641" w:val="center"/>
          <w:tab w:pos="3254" w:val="center"/>
          <w:tab w:pos="3864" w:val="right"/>
        </w:tabs>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1871-1875</w:t>
        <w:tab/>
        <w:t>.</w:t>
        <w:tab/>
        <w:t>.</w:t>
        <w:tab/>
        <w:t>66</w:t>
        <w:tab/>
      </w:r>
      <w:r>
        <w:rPr>
          <w:color w:val="000000"/>
          <w:spacing w:val="0"/>
          <w:w w:val="100"/>
          <w:position w:val="0"/>
          <w:sz w:val="15"/>
          <w:szCs w:val="15"/>
          <w:shd w:val="clear" w:color="auto" w:fill="auto"/>
          <w:lang w:val="de-DE" w:eastAsia="de-DE" w:bidi="de-DE"/>
        </w:rPr>
        <w:t>„</w:t>
        <w:tab/>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tabs>
          <w:tab w:pos="3175" w:val="left"/>
          <w:tab w:pos="3747" w:val="left"/>
        </w:tabs>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1876-1880 . . 74</w:t>
        <w:tab/>
      </w:r>
      <w:r>
        <w:rPr>
          <w:color w:val="000000"/>
          <w:spacing w:val="0"/>
          <w:w w:val="100"/>
          <w:position w:val="0"/>
          <w:sz w:val="15"/>
          <w:szCs w:val="15"/>
          <w:shd w:val="clear" w:color="auto" w:fill="auto"/>
          <w:lang w:val="de-DE" w:eastAsia="de-DE" w:bidi="de-DE"/>
        </w:rPr>
        <w:t>„</w:t>
        <w:tab/>
        <w:t>„</w:t>
      </w:r>
    </w:p>
    <w:p>
      <w:pPr>
        <w:pStyle w:val="Style2"/>
        <w:keepNext w:val="0"/>
        <w:keepLines w:val="0"/>
        <w:widowControl w:val="0"/>
        <w:shd w:val="clear" w:color="auto" w:fill="auto"/>
        <w:tabs>
          <w:tab w:pos="2233" w:val="right"/>
          <w:tab w:pos="2395" w:val="right"/>
          <w:tab w:pos="2641" w:val="center"/>
        </w:tabs>
        <w:bidi w:val="0"/>
        <w:spacing w:line="228" w:lineRule="auto"/>
        <w:ind w:left="0" w:firstLine="0"/>
        <w:jc w:val="left"/>
        <w:rPr>
          <w:sz w:val="15"/>
          <w:szCs w:val="15"/>
        </w:rPr>
      </w:pPr>
      <w:r>
        <w:rPr>
          <w:color w:val="000000"/>
          <w:spacing w:val="0"/>
          <w:w w:val="100"/>
          <w:position w:val="0"/>
          <w:sz w:val="15"/>
          <w:szCs w:val="15"/>
          <w:shd w:val="clear" w:color="auto" w:fill="auto"/>
          <w:lang w:val="en-US" w:eastAsia="en-US" w:bidi="en-US"/>
        </w:rPr>
        <w:t>1881-1885</w:t>
        <w:tab/>
        <w:t>·</w:t>
        <w:tab/>
        <w:t>·</w:t>
        <w:tab/>
        <w:t>75</w:t>
      </w:r>
    </w:p>
    <w:p>
      <w:pPr>
        <w:pStyle w:val="Style2"/>
        <w:keepNext w:val="0"/>
        <w:keepLines w:val="0"/>
        <w:widowControl w:val="0"/>
        <w:shd w:val="clear" w:color="auto" w:fill="auto"/>
        <w:tabs>
          <w:tab w:pos="2233" w:val="right"/>
          <w:tab w:pos="2395" w:val="right"/>
          <w:tab w:pos="2641" w:val="center"/>
          <w:tab w:pos="3254" w:val="center"/>
          <w:tab w:pos="3864" w:val="right"/>
        </w:tabs>
        <w:bidi w:val="0"/>
        <w:spacing w:line="194" w:lineRule="auto"/>
        <w:ind w:left="0" w:firstLine="0"/>
        <w:jc w:val="left"/>
        <w:rPr>
          <w:sz w:val="15"/>
          <w:szCs w:val="15"/>
        </w:rPr>
      </w:pPr>
      <w:r>
        <w:rPr>
          <w:color w:val="000000"/>
          <w:spacing w:val="0"/>
          <w:w w:val="100"/>
          <w:position w:val="0"/>
          <w:sz w:val="15"/>
          <w:szCs w:val="15"/>
          <w:shd w:val="clear" w:color="auto" w:fill="auto"/>
          <w:lang w:val="en-US" w:eastAsia="en-US" w:bidi="en-US"/>
        </w:rPr>
        <w:t>1886-1890</w:t>
        <w:tab/>
        <w:t>.</w:t>
        <w:tab/>
        <w:t>.</w:t>
        <w:tab/>
        <w:t>79</w:t>
        <w:tab/>
      </w:r>
      <w:r>
        <w:rPr>
          <w:color w:val="000000"/>
          <w:spacing w:val="0"/>
          <w:w w:val="100"/>
          <w:position w:val="0"/>
          <w:sz w:val="15"/>
          <w:szCs w:val="15"/>
          <w:shd w:val="clear" w:color="auto" w:fill="auto"/>
          <w:lang w:val="de-DE" w:eastAsia="de-DE" w:bidi="de-DE"/>
        </w:rPr>
        <w:t>„</w:t>
        <w:tab/>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tabs>
          <w:tab w:pos="2233" w:val="right"/>
          <w:tab w:pos="2395" w:val="right"/>
          <w:tab w:pos="2641" w:val="center"/>
          <w:tab w:pos="3254" w:val="center"/>
          <w:tab w:pos="3864" w:val="right"/>
        </w:tabs>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1891-1895</w:t>
        <w:tab/>
        <w:t>.</w:t>
        <w:tab/>
        <w:t>.</w:t>
        <w:tab/>
        <w:t>88</w:t>
        <w:tab/>
      </w:r>
      <w:r>
        <w:rPr>
          <w:color w:val="000000"/>
          <w:spacing w:val="0"/>
          <w:w w:val="100"/>
          <w:position w:val="0"/>
          <w:sz w:val="15"/>
          <w:szCs w:val="15"/>
          <w:shd w:val="clear" w:color="auto" w:fill="auto"/>
          <w:lang w:val="de-DE" w:eastAsia="de-DE" w:bidi="de-DE"/>
        </w:rPr>
        <w:t>„</w:t>
        <w:tab/>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tabs>
          <w:tab w:pos="2233" w:val="right"/>
          <w:tab w:pos="2395" w:val="right"/>
          <w:tab w:pos="2641" w:val="center"/>
          <w:tab w:pos="3254" w:val="center"/>
          <w:tab w:pos="3864" w:val="right"/>
        </w:tabs>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1896-1900</w:t>
        <w:tab/>
        <w:t>.</w:t>
        <w:tab/>
        <w:t>.</w:t>
        <w:tab/>
        <w:t>89</w:t>
        <w:tab/>
      </w:r>
      <w:r>
        <w:rPr>
          <w:color w:val="000000"/>
          <w:spacing w:val="0"/>
          <w:w w:val="100"/>
          <w:position w:val="0"/>
          <w:sz w:val="15"/>
          <w:szCs w:val="15"/>
          <w:shd w:val="clear" w:color="auto" w:fill="auto"/>
          <w:lang w:val="de-DE" w:eastAsia="de-DE" w:bidi="de-DE"/>
        </w:rPr>
        <w:t>„</w:t>
        <w:tab/>
        <w:t>„</w:t>
      </w:r>
    </w:p>
    <w:p>
      <w:pPr>
        <w:pStyle w:val="Style2"/>
        <w:keepNext w:val="0"/>
        <w:keepLines w:val="0"/>
        <w:widowControl w:val="0"/>
        <w:shd w:val="clear" w:color="auto" w:fill="auto"/>
        <w:tabs>
          <w:tab w:pos="2317" w:val="left"/>
        </w:tabs>
        <w:bidi w:val="0"/>
        <w:spacing w:line="216" w:lineRule="auto"/>
        <w:ind w:left="0" w:firstLine="0"/>
        <w:jc w:val="left"/>
      </w:pPr>
      <w:r>
        <w:rPr>
          <w:color w:val="000000"/>
          <w:spacing w:val="0"/>
          <w:w w:val="100"/>
          <w:position w:val="0"/>
          <w:sz w:val="15"/>
          <w:szCs w:val="15"/>
          <w:shd w:val="clear" w:color="auto" w:fill="auto"/>
          <w:lang w:val="en-US" w:eastAsia="en-US" w:bidi="en-US"/>
        </w:rPr>
        <w:t>1901-1905 .</w:t>
        <w:tab/>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1oo</w:t>
      </w:r>
    </w:p>
    <w:p>
      <w:pPr>
        <w:pStyle w:val="Style2"/>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The next table illustrates the continued increase in recent years, and at the same time shows the total number and the number of male and female suicides each year from 1886 to 1905.</w:t>
      </w:r>
    </w:p>
    <w:p>
      <w:pPr>
        <w:pStyle w:val="Style2"/>
        <w:keepNext w:val="0"/>
        <w:keepLines w:val="0"/>
        <w:widowControl w:val="0"/>
        <w:shd w:val="clear" w:color="auto" w:fill="auto"/>
        <w:bidi w:val="0"/>
        <w:spacing w:line="240" w:lineRule="auto"/>
        <w:ind w:left="0" w:firstLine="0"/>
        <w:jc w:val="left"/>
        <w:rPr>
          <w:sz w:val="15"/>
          <w:szCs w:val="15"/>
        </w:rPr>
      </w:pPr>
      <w:r>
        <w:rPr>
          <w:smallCaps/>
          <w:color w:val="000000"/>
          <w:spacing w:val="0"/>
          <w:w w:val="100"/>
          <w:position w:val="0"/>
          <w:sz w:val="16"/>
          <w:szCs w:val="16"/>
          <w:shd w:val="clear" w:color="auto" w:fill="auto"/>
          <w:lang w:val="en-US" w:eastAsia="en-US" w:bidi="en-US"/>
        </w:rPr>
        <w:t>Table</w:t>
      </w:r>
      <w:r>
        <w:rPr>
          <w:b/>
          <w:bCs/>
          <w:color w:val="000000"/>
          <w:spacing w:val="0"/>
          <w:w w:val="100"/>
          <w:position w:val="0"/>
          <w:sz w:val="15"/>
          <w:szCs w:val="15"/>
          <w:shd w:val="clear" w:color="auto" w:fill="auto"/>
          <w:lang w:val="en-US" w:eastAsia="en-US" w:bidi="en-US"/>
        </w:rPr>
        <w:t xml:space="preserve"> II.</w:t>
      </w:r>
    </w:p>
    <w:p>
      <w:pPr>
        <w:pStyle w:val="Style2"/>
        <w:keepNext w:val="0"/>
        <w:keepLines w:val="0"/>
        <w:widowControl w:val="0"/>
        <w:shd w:val="clear" w:color="auto" w:fill="auto"/>
        <w:bidi w:val="0"/>
        <w:spacing w:line="199" w:lineRule="auto"/>
        <w:ind w:left="0" w:firstLine="0"/>
        <w:jc w:val="left"/>
      </w:pPr>
      <w:r>
        <w:rPr>
          <w:i/>
          <w:iCs/>
          <w:color w:val="000000"/>
          <w:spacing w:val="0"/>
          <w:w w:val="100"/>
          <w:position w:val="0"/>
          <w:shd w:val="clear" w:color="auto" w:fill="auto"/>
          <w:lang w:val="en-US" w:eastAsia="en-US" w:bidi="en-US"/>
        </w:rPr>
        <w:t>Total Suicides—Male and Female.—in England and Wales, 1886-1905, together with the annual rate per million living (Registrar-General’s Reports).</w:t>
      </w:r>
    </w:p>
    <w:tbl>
      <w:tblPr>
        <w:tblOverlap w:val="never"/>
        <w:jc w:val="left"/>
        <w:tblLayout w:type="fixed"/>
      </w:tblPr>
      <w:tblGrid>
        <w:gridCol w:w="929"/>
        <w:gridCol w:w="999"/>
        <w:gridCol w:w="999"/>
        <w:gridCol w:w="1003"/>
        <w:gridCol w:w="901"/>
      </w:tblGrid>
      <w:tr>
        <w:trPr>
          <w:trHeight w:val="585"/>
        </w:trPr>
        <w:tc>
          <w:tcPr>
            <w:tcBorders>
              <w:top w:val="single" w:sz="4"/>
              <w:left w:val="single" w:sz="4"/>
            </w:tcBorders>
            <w:shd w:val="clear" w:color="auto" w:fill="EEE9C4"/>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Year.</w:t>
            </w:r>
          </w:p>
        </w:tc>
        <w:tc>
          <w:tcPr>
            <w:tcBorders>
              <w:top w:val="single" w:sz="4"/>
              <w:left w:val="single" w:sz="4"/>
            </w:tcBorders>
            <w:shd w:val="clear" w:color="auto" w:fill="EEE9C4"/>
            <w:vAlign w:val="center"/>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Male.</w:t>
            </w:r>
          </w:p>
        </w:tc>
        <w:tc>
          <w:tcPr>
            <w:tcBorders>
              <w:top w:val="single" w:sz="4"/>
              <w:left w:val="single" w:sz="4"/>
            </w:tcBorders>
            <w:shd w:val="clear" w:color="auto" w:fill="EEE9C4"/>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Female.</w:t>
            </w:r>
          </w:p>
        </w:tc>
        <w:tc>
          <w:tcPr>
            <w:tcBorders>
              <w:top w:val="single" w:sz="4"/>
              <w:left w:val="single" w:sz="4"/>
            </w:tcBorders>
            <w:shd w:val="clear" w:color="auto" w:fill="EEE9C4"/>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right w:val="single" w:sz="4"/>
            </w:tcBorders>
            <w:shd w:val="clear" w:color="auto" w:fill="EEE9C4"/>
            <w:vAlign w:val="top"/>
          </w:tcPr>
          <w:p>
            <w:pPr>
              <w:pStyle w:val="Style8"/>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Suicide-rate per Million Living.</w:t>
            </w:r>
          </w:p>
        </w:tc>
      </w:tr>
      <w:tr>
        <w:trPr>
          <w:trHeight w:val="274"/>
        </w:trPr>
        <w:tc>
          <w:tcPr>
            <w:tcBorders>
              <w:top w:val="single" w:sz="4"/>
              <w:left w:val="single" w:sz="4"/>
            </w:tcBorders>
            <w:shd w:val="clear" w:color="auto" w:fill="EEE9C4"/>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1886</w:t>
            </w:r>
          </w:p>
        </w:tc>
        <w:tc>
          <w:tcPr>
            <w:tcBorders>
              <w:top w:val="single" w:sz="4"/>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1694</w:t>
            </w:r>
          </w:p>
        </w:tc>
        <w:tc>
          <w:tcPr>
            <w:tcBorders>
              <w:top w:val="single" w:sz="4"/>
              <w:left w:val="single" w:sz="4"/>
            </w:tcBorders>
            <w:shd w:val="clear" w:color="auto" w:fill="EEE9C4"/>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560</w:t>
            </w:r>
          </w:p>
        </w:tc>
        <w:tc>
          <w:tcPr>
            <w:tcBorders>
              <w:top w:val="single" w:sz="4"/>
              <w:left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2254</w:t>
            </w:r>
          </w:p>
        </w:tc>
        <w:tc>
          <w:tcPr>
            <w:tcBorders>
              <w:top w:val="single" w:sz="4"/>
              <w:left w:val="single" w:sz="4"/>
              <w:right w:val="single" w:sz="4"/>
            </w:tcBorders>
            <w:shd w:val="clear" w:color="auto" w:fill="EEE9C4"/>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82</w:t>
            </w:r>
          </w:p>
        </w:tc>
      </w:tr>
      <w:tr>
        <w:trPr>
          <w:trHeight w:val="158"/>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1890</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1635</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570</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2205</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77</w:t>
            </w:r>
          </w:p>
        </w:tc>
      </w:tr>
      <w:tr>
        <w:trPr>
          <w:trHeight w:val="139"/>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1895</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2071</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726</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2797</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92</w:t>
            </w:r>
          </w:p>
        </w:tc>
      </w:tr>
      <w:tr>
        <w:trPr>
          <w:trHeight w:val="163"/>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1896</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1979</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677</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2656</w:t>
            </w:r>
          </w:p>
        </w:tc>
        <w:tc>
          <w:tcPr>
            <w:tcBorders>
              <w:left w:val="single" w:sz="4"/>
              <w:right w:val="single" w:sz="4"/>
            </w:tcBorders>
            <w:shd w:val="clear" w:color="auto" w:fill="EEE9C4"/>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86</w:t>
            </w:r>
          </w:p>
        </w:tc>
      </w:tr>
      <w:tr>
        <w:trPr>
          <w:trHeight w:val="144"/>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1897</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2090</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702</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2792</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90</w:t>
            </w:r>
          </w:p>
        </w:tc>
      </w:tr>
      <w:tr>
        <w:trPr>
          <w:trHeight w:val="149"/>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1898</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2166</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711</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2877</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91</w:t>
            </w:r>
          </w:p>
        </w:tc>
      </w:tr>
      <w:tr>
        <w:trPr>
          <w:trHeight w:val="153"/>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1899</w:t>
            </w:r>
          </w:p>
        </w:tc>
        <w:tc>
          <w:tcPr>
            <w:tcBorders>
              <w:left w:val="single" w:sz="4"/>
            </w:tcBorders>
            <w:shd w:val="clear" w:color="auto" w:fill="EEE9C4"/>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2121</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723</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2844</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89</w:t>
            </w:r>
          </w:p>
        </w:tc>
      </w:tr>
      <w:tr>
        <w:trPr>
          <w:trHeight w:val="153"/>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1900</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2166</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730</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2896</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90</w:t>
            </w:r>
          </w:p>
        </w:tc>
      </w:tr>
      <w:tr>
        <w:trPr>
          <w:trHeight w:val="149"/>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1901</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2318</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803</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3121</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96</w:t>
            </w:r>
          </w:p>
        </w:tc>
      </w:tr>
      <w:tr>
        <w:trPr>
          <w:trHeight w:val="153"/>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1902</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2460</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807</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3267</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99</w:t>
            </w:r>
          </w:p>
        </w:tc>
      </w:tr>
      <w:tr>
        <w:trPr>
          <w:trHeight w:val="158"/>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1903</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2640</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871</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3511</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105</w:t>
            </w:r>
          </w:p>
        </w:tc>
      </w:tr>
      <w:tr>
        <w:trPr>
          <w:trHeight w:val="144"/>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1904</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2523</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822</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3345</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99</w:t>
            </w:r>
          </w:p>
        </w:tc>
      </w:tr>
      <w:tr>
        <w:trPr>
          <w:trHeight w:val="214"/>
        </w:trPr>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1905</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2683</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862</w:t>
            </w:r>
          </w:p>
        </w:tc>
        <w:tc>
          <w:tcPr>
            <w:tcBorders>
              <w:lef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3545</w:t>
            </w:r>
          </w:p>
        </w:tc>
        <w:tc>
          <w:tcPr>
            <w:tcBorders>
              <w:left w:val="single" w:sz="4"/>
              <w:right w:val="single" w:sz="4"/>
            </w:tcBorders>
            <w:shd w:val="clear" w:color="auto" w:fill="EEE9C4"/>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104</w:t>
            </w:r>
          </w:p>
        </w:tc>
      </w:tr>
      <w:tr>
        <w:trPr>
          <w:trHeight w:val="265"/>
        </w:trPr>
        <w:tc>
          <w:tcPr>
            <w:tcBorders>
              <w:top w:val="single" w:sz="4"/>
              <w:left w:val="single" w:sz="4"/>
              <w:bottom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bottom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28,546</w:t>
            </w:r>
          </w:p>
        </w:tc>
        <w:tc>
          <w:tcPr>
            <w:tcBorders>
              <w:top w:val="single" w:sz="4"/>
              <w:left w:val="single" w:sz="4"/>
              <w:bottom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9564</w:t>
            </w:r>
          </w:p>
        </w:tc>
        <w:tc>
          <w:tcPr>
            <w:tcBorders>
              <w:top w:val="single" w:sz="4"/>
              <w:left w:val="single" w:sz="4"/>
              <w:bottom w:val="single" w:sz="4"/>
            </w:tcBorders>
            <w:shd w:val="clear" w:color="auto" w:fill="EEE9C4"/>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38,110</w:t>
            </w:r>
          </w:p>
        </w:tc>
        <w:tc>
          <w:tcPr>
            <w:tcBorders>
              <w:top w:val="single" w:sz="4"/>
              <w:left w:val="single" w:sz="4"/>
              <w:bottom w:val="single" w:sz="4"/>
              <w:right w:val="single" w:sz="4"/>
            </w:tcBorders>
            <w:shd w:val="clear" w:color="auto" w:fill="EEE9C4"/>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r>
    </w:tbl>
    <w:p>
      <w:pPr>
        <w:widowControl w:val="0"/>
        <w:spacing w:after="139" w:line="1" w:lineRule="exact"/>
      </w:pP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reason of the high suicide-rate in some countries as com</w:t>
        <w:softHyphen/>
        <w:t>pared with others, and the causes of its progressive increase, are not easily determined. Various explanations have been offered, such as the influence of climate, the comparative prevalence of insanity, and the proportionate consumption of alcoholic drinks, but none satisfactorily accounts for the facts. It may, however, be remarked that suicide is much more common amongst</w:t>
      </w:r>
    </w:p>
    <w:sectPr>
      <w:footnotePr>
        <w:pos w:val="pageBottom"/>
        <w:numFmt w:val="decimal"/>
        <w:numRestart w:val="continuous"/>
      </w:footnotePr>
      <w:pgSz w:w="12240" w:h="15840"/>
      <w:pgMar w:top="1372" w:left="1164" w:right="1090"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9">
    <w:name w:val="Other_"/>
    <w:basedOn w:val="DefaultParagraphFont"/>
    <w:link w:val="Style8"/>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8">
    <w:name w:val="Other"/>
    <w:basedOn w:val="Normal"/>
    <w:link w:val="CharStyle9"/>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