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Protestant </w:t>
      </w:r>
      <w:r>
        <w:rPr>
          <w:color w:val="000000"/>
          <w:spacing w:val="0"/>
          <w:w w:val="100"/>
          <w:position w:val="0"/>
          <w:shd w:val="clear" w:color="auto" w:fill="auto"/>
          <w:lang w:val="en-US" w:eastAsia="en-US" w:bidi="en-US"/>
        </w:rPr>
        <w:t>than amongst Roman Catholic communities, while Jews have a smaller suicide-rate than Roman Catholics. A point of considerable interest is the increase of suicide in relation to the advance of elementary education. Ogle states that suicide is more common among the educated than the illiterate classes. It is also more prevalent in urban than in rural districts. A curious feature in large towns is the sudden outbreak of self-destruction which sometimes occurs, and which has led to its being described as epidemic. In such cases force of example and imitation undoubtedly play a considerable part, as it is well recognized that both these forces exert an influence not only in causing suicide, but also in suggesting the method, time and place for the act. No age above five years is exempted from furnishing its quota of suicidal deaths, although self-destruction between five and ten years is very rare. Above this age the proportion of suicides increases at each period, the maximum being reached between fifty-five and sixty-five. Among females there is a greater relative prevalence at earlier age periods than among males. The modes of suicide are found to vary very slightly in different countries. Hanging is most common amongst males; then drowning, injuries from fire-arms, stabs and cuts, poison and precipitation from heights. Amongst females, drowning comes first, while poison and hanging are more frequent than other methods entailing effusion of blood and disfigurement of the person. The methods used in England and Wales by suicides during 1888-1897, and in Scotland during the years 1881-1897, are given in the following table:—</w:t>
      </w:r>
    </w:p>
    <w:p>
      <w:pPr>
        <w:pStyle w:val="Style4"/>
        <w:keepNext w:val="0"/>
        <w:keepLines w:val="0"/>
        <w:widowControl w:val="0"/>
        <w:shd w:val="clear" w:color="auto" w:fill="auto"/>
        <w:bidi w:val="0"/>
        <w:spacing w:line="240" w:lineRule="auto"/>
        <w:ind w:left="0" w:firstLine="0"/>
        <w:jc w:val="center"/>
      </w:pPr>
      <w:r>
        <w:rPr>
          <w:smallCaps/>
          <w:color w:val="000000"/>
          <w:spacing w:val="0"/>
          <w:w w:val="100"/>
          <w:position w:val="0"/>
          <w:sz w:val="16"/>
          <w:szCs w:val="16"/>
          <w:shd w:val="clear" w:color="auto" w:fill="auto"/>
          <w:lang w:val="en-US" w:eastAsia="en-US" w:bidi="en-US"/>
        </w:rPr>
        <w:t>Table</w:t>
      </w:r>
      <w:r>
        <w:rPr>
          <w:b/>
          <w:bCs/>
          <w:color w:val="000000"/>
          <w:spacing w:val="0"/>
          <w:w w:val="100"/>
          <w:position w:val="0"/>
          <w:sz w:val="15"/>
          <w:szCs w:val="15"/>
          <w:shd w:val="clear" w:color="auto" w:fill="auto"/>
          <w:lang w:val="en-US" w:eastAsia="en-US" w:bidi="en-US"/>
        </w:rPr>
        <w:t xml:space="preserve"> III.</w:t>
      </w:r>
    </w:p>
    <w:p>
      <w:pPr>
        <w:pStyle w:val="Style4"/>
        <w:keepNext w:val="0"/>
        <w:keepLines w:val="0"/>
        <w:widowControl w:val="0"/>
        <w:shd w:val="clear" w:color="auto" w:fill="auto"/>
        <w:bidi w:val="0"/>
        <w:spacing w:line="240" w:lineRule="auto"/>
        <w:ind w:left="0" w:firstLine="0"/>
        <w:jc w:val="center"/>
        <w:rPr>
          <w:sz w:val="16"/>
          <w:szCs w:val="16"/>
        </w:rPr>
      </w:pPr>
      <w:r>
        <w:rPr>
          <w:i/>
          <w:iCs/>
          <w:color w:val="000000"/>
          <w:spacing w:val="0"/>
          <w:w w:val="100"/>
          <w:position w:val="0"/>
          <w:sz w:val="16"/>
          <w:szCs w:val="16"/>
          <w:shd w:val="clear" w:color="auto" w:fill="auto"/>
          <w:lang w:val="en-US" w:eastAsia="en-US" w:bidi="en-US"/>
        </w:rPr>
        <w:t>Modes of Suicide in England and Wales, 1888-1897.</w:t>
      </w:r>
    </w:p>
    <w:tbl>
      <w:tblPr>
        <w:tblOverlap w:val="never"/>
        <w:jc w:val="left"/>
        <w:tblLayout w:type="fixed"/>
      </w:tblPr>
      <w:tblGrid>
        <w:gridCol w:w="827"/>
        <w:gridCol w:w="836"/>
        <w:gridCol w:w="516"/>
        <w:gridCol w:w="845"/>
        <w:gridCol w:w="511"/>
        <w:gridCol w:w="841"/>
        <w:gridCol w:w="506"/>
      </w:tblGrid>
      <w:tr>
        <w:trPr>
          <w:trHeight w:val="269"/>
        </w:trPr>
        <w:tc>
          <w:tcPr>
            <w:vMerge w:val="restart"/>
            <w:tcBorders>
              <w:top w:val="single" w:sz="4"/>
              <w:left w:val="single" w:sz="4"/>
            </w:tcBorders>
            <w:shd w:val="clear" w:color="auto" w:fill="EEE9C4"/>
            <w:vAlign w:val="center"/>
          </w:tcPr>
          <w:p>
            <w:pPr>
              <w:pStyle w:val="Style9"/>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Order of Fre</w:t>
              <w:softHyphen/>
              <w:t>quency.</w:t>
            </w:r>
          </w:p>
        </w:tc>
        <w:tc>
          <w:tcPr>
            <w:gridSpan w:val="2"/>
            <w:tcBorders>
              <w:top w:val="single" w:sz="4"/>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Males.</w:t>
            </w:r>
          </w:p>
        </w:tc>
        <w:tc>
          <w:tcPr>
            <w:gridSpan w:val="2"/>
            <w:tcBorders>
              <w:top w:val="single" w:sz="4"/>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Females.</w:t>
            </w:r>
          </w:p>
        </w:tc>
        <w:tc>
          <w:tcPr>
            <w:gridSpan w:val="2"/>
            <w:tcBorders>
              <w:top w:val="single" w:sz="4"/>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Both Sexes.</w:t>
            </w:r>
          </w:p>
        </w:tc>
      </w:tr>
      <w:tr>
        <w:trPr>
          <w:trHeight w:val="469"/>
        </w:trPr>
        <w:tc>
          <w:tcPr>
            <w:vMerge/>
            <w:tcBorders>
              <w:left w:val="single" w:sz="4"/>
            </w:tcBorders>
            <w:shd w:val="clear" w:color="auto" w:fill="EEE9C4"/>
            <w:vAlign w:val="center"/>
          </w:tcPr>
          <w:p>
            <w:pP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Mode.</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Num</w:t>
              <w:softHyphen/>
              <w:t>ber.</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Mode.</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23" w:lineRule="auto"/>
              <w:ind w:left="0" w:firstLine="0"/>
              <w:jc w:val="left"/>
              <w:rPr>
                <w:sz w:val="15"/>
                <w:szCs w:val="15"/>
              </w:rPr>
            </w:pPr>
            <w:r>
              <w:rPr>
                <w:color w:val="000000"/>
                <w:spacing w:val="0"/>
                <w:w w:val="100"/>
                <w:position w:val="0"/>
                <w:sz w:val="15"/>
                <w:szCs w:val="15"/>
                <w:shd w:val="clear" w:color="auto" w:fill="auto"/>
                <w:lang w:val="en-US" w:eastAsia="en-US" w:bidi="en-US"/>
              </w:rPr>
              <w:t>Num</w:t>
              <w:softHyphen/>
              <w:t>ber.</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Mode.</w:t>
            </w:r>
          </w:p>
        </w:tc>
        <w:tc>
          <w:tcPr>
            <w:tcBorders>
              <w:top w:val="single" w:sz="4"/>
              <w:left w:val="single" w:sz="4"/>
              <w:right w:val="single" w:sz="4"/>
            </w:tcBorders>
            <w:shd w:val="clear" w:color="auto" w:fill="EEE9C4"/>
            <w:vAlign w:val="center"/>
          </w:tcPr>
          <w:p>
            <w:pPr>
              <w:pStyle w:val="Style9"/>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Num</w:t>
              <w:softHyphen/>
              <w:t>ber.</w:t>
            </w:r>
          </w:p>
        </w:tc>
      </w:tr>
      <w:tr>
        <w:trPr>
          <w:trHeight w:val="232"/>
        </w:trPr>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I</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Hanging</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5669</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Drowning</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2089</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Hanging</w:t>
            </w:r>
          </w:p>
        </w:tc>
        <w:tc>
          <w:tcPr>
            <w:tcBorders>
              <w:top w:val="single" w:sz="4"/>
              <w:left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7005</w:t>
            </w:r>
          </w:p>
        </w:tc>
      </w:tr>
      <w:tr>
        <w:trPr>
          <w:trHeight w:val="149"/>
        </w:trPr>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Stab-cut</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3594</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Poison</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1652</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Drowning</w:t>
            </w:r>
          </w:p>
        </w:tc>
        <w:tc>
          <w:tcPr>
            <w:tcBorders>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5532</w:t>
            </w:r>
          </w:p>
        </w:tc>
      </w:tr>
      <w:tr>
        <w:trPr>
          <w:trHeight w:val="153"/>
        </w:trPr>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Drowning</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3443</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Hanging</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1336</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Stab-cut</w:t>
            </w:r>
          </w:p>
        </w:tc>
        <w:tc>
          <w:tcPr>
            <w:tcBorders>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4365</w:t>
            </w:r>
          </w:p>
        </w:tc>
      </w:tr>
      <w:tr>
        <w:trPr>
          <w:trHeight w:val="149"/>
        </w:trPr>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Poison</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2264</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Stab-cut</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771</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Poison</w:t>
            </w:r>
          </w:p>
        </w:tc>
        <w:tc>
          <w:tcPr>
            <w:tcBorders>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3916</w:t>
            </w:r>
          </w:p>
        </w:tc>
      </w:tr>
      <w:tr>
        <w:trPr>
          <w:trHeight w:val="144"/>
        </w:trPr>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Fire-arms</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2152</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Fire-arms</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52</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Fire-arms</w:t>
            </w:r>
          </w:p>
        </w:tc>
        <w:tc>
          <w:tcPr>
            <w:tcBorders>
              <w:left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2204</w:t>
            </w:r>
          </w:p>
        </w:tc>
      </w:tr>
      <w:tr>
        <w:trPr>
          <w:trHeight w:val="237"/>
        </w:trPr>
        <w:tc>
          <w:tcPr>
            <w:tcBorders>
              <w:left w:val="single" w:sz="4"/>
            </w:tcBorders>
            <w:shd w:val="clear" w:color="auto" w:fill="EEE9C4"/>
            <w:vAlign w:val="center"/>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Otherwise</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1773</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Otherwise</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527</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Otherwise</w:t>
            </w:r>
          </w:p>
        </w:tc>
        <w:tc>
          <w:tcPr>
            <w:tcBorders>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2300</w:t>
            </w:r>
          </w:p>
        </w:tc>
      </w:tr>
      <w:tr>
        <w:trPr>
          <w:trHeight w:val="302"/>
        </w:trPr>
        <w:tc>
          <w:tcPr>
            <w:tcBorders>
              <w:top w:val="single" w:sz="4"/>
              <w:left w:val="single" w:sz="4"/>
              <w:bottom w:val="single" w:sz="4"/>
            </w:tcBorders>
            <w:shd w:val="clear" w:color="auto" w:fill="EEE9C4"/>
            <w:vAlign w:val="top"/>
          </w:tcPr>
          <w:p>
            <w:pPr>
              <w:widowControl w:val="0"/>
              <w:rPr>
                <w:sz w:val="10"/>
                <w:szCs w:val="10"/>
              </w:rPr>
            </w:pPr>
          </w:p>
        </w:tc>
        <w:tc>
          <w:tcPr>
            <w:tcBorders>
              <w:top w:val="single" w:sz="4"/>
              <w:left w:val="single" w:sz="4"/>
              <w:bottom w:val="single" w:sz="4"/>
            </w:tcBorders>
            <w:shd w:val="clear" w:color="auto" w:fill="EEE9C4"/>
            <w:vAlign w:val="top"/>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18,895</w:t>
            </w:r>
          </w:p>
        </w:tc>
        <w:tc>
          <w:tcPr>
            <w:tcBorders>
              <w:top w:val="single" w:sz="4"/>
              <w:left w:val="single" w:sz="4"/>
              <w:bottom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6427</w:t>
            </w:r>
          </w:p>
        </w:tc>
        <w:tc>
          <w:tcPr>
            <w:tcBorders>
              <w:top w:val="single" w:sz="4"/>
              <w:left w:val="single" w:sz="4"/>
              <w:bottom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25,322</w:t>
            </w:r>
          </w:p>
        </w:tc>
      </w:tr>
    </w:tbl>
    <w:p>
      <w:pPr>
        <w:pStyle w:val="Style4"/>
        <w:keepNext w:val="0"/>
        <w:keepLines w:val="0"/>
        <w:widowControl w:val="0"/>
        <w:shd w:val="clear" w:color="auto" w:fill="auto"/>
        <w:bidi w:val="0"/>
        <w:spacing w:line="240" w:lineRule="auto"/>
        <w:ind w:left="957" w:firstLine="0"/>
        <w:jc w:val="left"/>
        <w:rPr>
          <w:sz w:val="16"/>
          <w:szCs w:val="16"/>
        </w:rPr>
      </w:pPr>
      <w:r>
        <w:rPr>
          <w:i/>
          <w:iCs/>
          <w:color w:val="000000"/>
          <w:spacing w:val="0"/>
          <w:w w:val="100"/>
          <w:position w:val="0"/>
          <w:sz w:val="16"/>
          <w:szCs w:val="16"/>
          <w:shd w:val="clear" w:color="auto" w:fill="auto"/>
          <w:lang w:val="en-US" w:eastAsia="en-US" w:bidi="en-US"/>
        </w:rPr>
        <w:t>Modes of Suicide in Scotland, 1881-1897.</w:t>
      </w:r>
    </w:p>
    <w:tbl>
      <w:tblPr>
        <w:tblOverlap w:val="never"/>
        <w:jc w:val="left"/>
        <w:tblLayout w:type="fixed"/>
      </w:tblPr>
      <w:tblGrid>
        <w:gridCol w:w="827"/>
        <w:gridCol w:w="841"/>
        <w:gridCol w:w="516"/>
        <w:gridCol w:w="841"/>
        <w:gridCol w:w="511"/>
        <w:gridCol w:w="841"/>
        <w:gridCol w:w="492"/>
      </w:tblGrid>
      <w:tr>
        <w:trPr>
          <w:trHeight w:val="274"/>
        </w:trPr>
        <w:tc>
          <w:tcPr>
            <w:vMerge w:val="restart"/>
            <w:tcBorders>
              <w:top w:val="single" w:sz="4"/>
              <w:left w:val="single" w:sz="4"/>
            </w:tcBorders>
            <w:shd w:val="clear" w:color="auto" w:fill="EEE9C4"/>
            <w:vAlign w:val="center"/>
          </w:tcPr>
          <w:p>
            <w:pPr>
              <w:pStyle w:val="Style9"/>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Order of Fre</w:t>
              <w:softHyphen/>
              <w:t>quency.</w:t>
            </w:r>
          </w:p>
        </w:tc>
        <w:tc>
          <w:tcPr>
            <w:gridSpan w:val="2"/>
            <w:tcBorders>
              <w:top w:val="single" w:sz="4"/>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Males.</w:t>
            </w:r>
          </w:p>
        </w:tc>
        <w:tc>
          <w:tcPr>
            <w:gridSpan w:val="2"/>
            <w:tcBorders>
              <w:top w:val="single" w:sz="4"/>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Females.</w:t>
            </w:r>
          </w:p>
        </w:tc>
        <w:tc>
          <w:tcPr>
            <w:gridSpan w:val="2"/>
            <w:tcBorders>
              <w:top w:val="single" w:sz="4"/>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Both Sexes.</w:t>
            </w:r>
          </w:p>
        </w:tc>
      </w:tr>
      <w:tr>
        <w:trPr>
          <w:trHeight w:val="469"/>
        </w:trPr>
        <w:tc>
          <w:tcPr>
            <w:vMerge/>
            <w:tcBorders>
              <w:left w:val="single" w:sz="4"/>
            </w:tcBorders>
            <w:shd w:val="clear" w:color="auto" w:fill="EEE9C4"/>
            <w:vAlign w:val="center"/>
          </w:tcPr>
          <w:p>
            <w:pP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Mode.</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Num</w:t>
              <w:softHyphen/>
              <w:t>ber.</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Mode.</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Num</w:t>
              <w:softHyphen/>
              <w:t>ber.</w:t>
            </w:r>
          </w:p>
        </w:tc>
        <w:tc>
          <w:tcPr>
            <w:tcBorders>
              <w:top w:val="single" w:sz="4"/>
              <w:left w:val="single" w:sz="4"/>
            </w:tcBorders>
            <w:shd w:val="clear" w:color="auto" w:fill="EEE9C4"/>
            <w:vAlign w:val="center"/>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Mode.</w:t>
            </w:r>
          </w:p>
        </w:tc>
        <w:tc>
          <w:tcPr>
            <w:tcBorders>
              <w:top w:val="single" w:sz="4"/>
              <w:left w:val="single" w:sz="4"/>
              <w:right w:val="single" w:sz="4"/>
            </w:tcBorders>
            <w:shd w:val="clear" w:color="auto" w:fill="EEE9C4"/>
            <w:vAlign w:val="center"/>
          </w:tcPr>
          <w:p>
            <w:pPr>
              <w:pStyle w:val="Style9"/>
              <w:keepNext w:val="0"/>
              <w:keepLines w:val="0"/>
              <w:widowControl w:val="0"/>
              <w:shd w:val="clear" w:color="auto" w:fill="auto"/>
              <w:bidi w:val="0"/>
              <w:spacing w:line="216" w:lineRule="auto"/>
              <w:ind w:left="0" w:firstLine="0"/>
              <w:jc w:val="left"/>
              <w:rPr>
                <w:sz w:val="15"/>
                <w:szCs w:val="15"/>
              </w:rPr>
            </w:pPr>
            <w:r>
              <w:rPr>
                <w:color w:val="000000"/>
                <w:spacing w:val="0"/>
                <w:w w:val="100"/>
                <w:position w:val="0"/>
                <w:sz w:val="15"/>
                <w:szCs w:val="15"/>
                <w:shd w:val="clear" w:color="auto" w:fill="auto"/>
                <w:lang w:val="en-US" w:eastAsia="en-US" w:bidi="en-US"/>
              </w:rPr>
              <w:t>Num</w:t>
              <w:softHyphen/>
              <w:t>ber.</w:t>
            </w:r>
          </w:p>
        </w:tc>
      </w:tr>
      <w:tr>
        <w:trPr>
          <w:trHeight w:val="232"/>
        </w:trPr>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I</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Hanging</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741</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Drowning</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430</w:t>
            </w:r>
          </w:p>
        </w:tc>
        <w:tc>
          <w:tcPr>
            <w:tcBorders>
              <w:top w:val="single" w:sz="4"/>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Drowning</w:t>
            </w:r>
          </w:p>
        </w:tc>
        <w:tc>
          <w:tcPr>
            <w:tcBorders>
              <w:top w:val="single" w:sz="4"/>
              <w:left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1060</w:t>
            </w:r>
          </w:p>
        </w:tc>
      </w:tr>
      <w:tr>
        <w:trPr>
          <w:trHeight w:val="153"/>
        </w:trPr>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Drowning</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630</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Hanging</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257</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Hanging</w:t>
            </w:r>
          </w:p>
        </w:tc>
        <w:tc>
          <w:tcPr>
            <w:tcBorders>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998</w:t>
            </w:r>
          </w:p>
        </w:tc>
      </w:tr>
      <w:tr>
        <w:trPr>
          <w:trHeight w:val="144"/>
        </w:trPr>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Stab-cut</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556</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Poison</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145</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Stab-cut</w:t>
            </w:r>
          </w:p>
        </w:tc>
        <w:tc>
          <w:tcPr>
            <w:tcBorders>
              <w:left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700</w:t>
            </w:r>
          </w:p>
        </w:tc>
      </w:tr>
      <w:tr>
        <w:trPr>
          <w:trHeight w:val="153"/>
        </w:trPr>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Poison</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2.57</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Stab-cut</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144</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Poison</w:t>
            </w:r>
          </w:p>
        </w:tc>
        <w:tc>
          <w:tcPr>
            <w:tcBorders>
              <w:left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402</w:t>
            </w:r>
          </w:p>
        </w:tc>
      </w:tr>
      <w:tr>
        <w:trPr>
          <w:trHeight w:val="149"/>
        </w:trPr>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Fire-arms</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245</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Fire-arms</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Fire-arms</w:t>
            </w:r>
          </w:p>
        </w:tc>
        <w:tc>
          <w:tcPr>
            <w:tcBorders>
              <w:left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251</w:t>
            </w:r>
          </w:p>
        </w:tc>
      </w:tr>
      <w:tr>
        <w:trPr>
          <w:trHeight w:val="232"/>
        </w:trPr>
        <w:tc>
          <w:tcPr>
            <w:tcBorders>
              <w:left w:val="single" w:sz="4"/>
            </w:tcBorders>
            <w:shd w:val="clear" w:color="auto" w:fill="EEE9C4"/>
            <w:vAlign w:val="center"/>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Otherwise</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207</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Otherwise</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100</w:t>
            </w:r>
          </w:p>
        </w:tc>
        <w:tc>
          <w:tcPr>
            <w:tcBorders>
              <w:lef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Otherwise</w:t>
            </w:r>
          </w:p>
        </w:tc>
        <w:tc>
          <w:tcPr>
            <w:tcBorders>
              <w:left w:val="single" w:sz="4"/>
              <w:right w:val="single" w:sz="4"/>
            </w:tcBorders>
            <w:shd w:val="clear" w:color="auto" w:fill="EEE9C4"/>
            <w:vAlign w:val="top"/>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307</w:t>
            </w:r>
          </w:p>
        </w:tc>
      </w:tr>
      <w:tr>
        <w:trPr>
          <w:trHeight w:val="279"/>
        </w:trPr>
        <w:tc>
          <w:tcPr>
            <w:tcBorders>
              <w:top w:val="single" w:sz="4"/>
              <w:left w:val="single" w:sz="4"/>
              <w:bottom w:val="single" w:sz="4"/>
            </w:tcBorders>
            <w:shd w:val="clear" w:color="auto" w:fill="EEE9C4"/>
            <w:vAlign w:val="top"/>
          </w:tcPr>
          <w:p>
            <w:pPr>
              <w:widowControl w:val="0"/>
              <w:rPr>
                <w:sz w:val="10"/>
                <w:szCs w:val="10"/>
              </w:rPr>
            </w:pPr>
          </w:p>
        </w:tc>
        <w:tc>
          <w:tcPr>
            <w:tcBorders>
              <w:top w:val="single" w:sz="4"/>
              <w:left w:val="single" w:sz="4"/>
              <w:bottom w:val="single" w:sz="4"/>
            </w:tcBorders>
            <w:shd w:val="clear" w:color="auto" w:fill="EEE9C4"/>
            <w:vAlign w:val="bottom"/>
          </w:tcPr>
          <w:p>
            <w:pPr>
              <w:pStyle w:val="Style9"/>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2636</w:t>
            </w:r>
          </w:p>
        </w:tc>
        <w:tc>
          <w:tcPr>
            <w:tcBorders>
              <w:top w:val="single" w:sz="4"/>
              <w:left w:val="single" w:sz="4"/>
              <w:bottom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1082</w:t>
            </w:r>
          </w:p>
        </w:tc>
        <w:tc>
          <w:tcPr>
            <w:tcBorders>
              <w:top w:val="single" w:sz="4"/>
              <w:left w:val="single" w:sz="4"/>
              <w:bottom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bottom w:val="single" w:sz="4"/>
              <w:right w:val="single" w:sz="4"/>
            </w:tcBorders>
            <w:shd w:val="clear" w:color="auto" w:fill="EEE9C4"/>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3718</w:t>
            </w:r>
          </w:p>
        </w:tc>
      </w:tr>
    </w:tbl>
    <w:p>
      <w:pPr>
        <w:pStyle w:val="Style2"/>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The season of the year influences suicide practically uniformly in all European countries, the number increasing from the com</w:t>
        <w:softHyphen/>
        <w:t xml:space="preserve">mencement of the year to a maximum in May or June, and then declining again to a minimum in winter. </w:t>
      </w:r>
      <w:r>
        <w:rPr>
          <w:color w:val="000000"/>
          <w:spacing w:val="0"/>
          <w:w w:val="100"/>
          <w:position w:val="0"/>
          <w:shd w:val="clear" w:color="auto" w:fill="auto"/>
          <w:lang w:val="fr-FR" w:eastAsia="fr-FR" w:bidi="fr-FR"/>
        </w:rPr>
        <w:t xml:space="preserve">Morselli </w:t>
      </w:r>
      <w:r>
        <w:rPr>
          <w:color w:val="000000"/>
          <w:spacing w:val="0"/>
          <w:w w:val="100"/>
          <w:position w:val="0"/>
          <w:shd w:val="clear" w:color="auto" w:fill="auto"/>
          <w:lang w:val="en-US" w:eastAsia="en-US" w:bidi="en-US"/>
        </w:rPr>
        <w:t xml:space="preserve">attempts to account for this greater prevalence during what may well be called the most beautiful months of the year by attributing it to the influence of increased temperature upon the organism, while </w:t>
      </w:r>
      <w:r>
        <w:rPr>
          <w:color w:val="000000"/>
          <w:spacing w:val="0"/>
          <w:w w:val="100"/>
          <w:position w:val="0"/>
          <w:shd w:val="clear" w:color="auto" w:fill="auto"/>
          <w:lang w:val="fr-FR" w:eastAsia="fr-FR" w:bidi="fr-FR"/>
        </w:rPr>
        <w:t xml:space="preserve">Durkheim </w:t>
      </w:r>
      <w:r>
        <w:rPr>
          <w:color w:val="000000"/>
          <w:spacing w:val="0"/>
          <w:w w:val="100"/>
          <w:position w:val="0"/>
          <w:shd w:val="clear" w:color="auto" w:fill="auto"/>
          <w:lang w:val="en-US" w:eastAsia="en-US" w:bidi="en-US"/>
        </w:rPr>
        <w:t>suggests that the determining factor is more probably to be found in the length of the day and the effect of a longer period of daily activity. The suicide-rate is higher in certain male occupations and professions than in others (Ogle). Thus it is high amongst soldiers, doctors, innkeepers and chemists, and low for clergy, bargemen, railway drivers and stokers. The suicide-rate is twice as great for unoccupied males as for occupied males.</w:t>
      </w:r>
    </w:p>
    <w:p>
      <w:pPr>
        <w:pStyle w:val="Style2"/>
        <w:keepNext w:val="0"/>
        <w:keepLines w:val="0"/>
        <w:widowControl w:val="0"/>
        <w:shd w:val="clear" w:color="auto" w:fill="auto"/>
        <w:bidi w:val="0"/>
        <w:spacing w:line="202"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fr-FR" w:eastAsia="fr-FR" w:bidi="fr-FR"/>
        </w:rPr>
        <w:t xml:space="preserve">Morselli, </w:t>
      </w:r>
      <w:r>
        <w:rPr>
          <w:i/>
          <w:iCs/>
          <w:color w:val="000000"/>
          <w:spacing w:val="0"/>
          <w:w w:val="100"/>
          <w:position w:val="0"/>
          <w:shd w:val="clear" w:color="auto" w:fill="auto"/>
          <w:lang w:val="en-US" w:eastAsia="en-US" w:bidi="en-US"/>
        </w:rPr>
        <w:t>Il Suicidio</w:t>
      </w:r>
      <w:r>
        <w:rPr>
          <w:color w:val="000000"/>
          <w:spacing w:val="0"/>
          <w:w w:val="100"/>
          <w:position w:val="0"/>
          <w:sz w:val="15"/>
          <w:szCs w:val="15"/>
          <w:shd w:val="clear" w:color="auto" w:fill="auto"/>
          <w:lang w:val="en-US" w:eastAsia="en-US" w:bidi="en-US"/>
        </w:rPr>
        <w:t xml:space="preserve"> (Milan, 1879): Legoyt,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Suicide </w:t>
      </w:r>
      <w:r>
        <w:rPr>
          <w:i/>
          <w:iCs/>
          <w:color w:val="000000"/>
          <w:spacing w:val="0"/>
          <w:w w:val="100"/>
          <w:position w:val="0"/>
          <w:shd w:val="clear" w:color="auto" w:fill="auto"/>
          <w:lang w:val="fr-FR" w:eastAsia="fr-FR" w:bidi="fr-FR"/>
        </w:rPr>
        <w:t xml:space="preserve">ancien </w:t>
      </w:r>
      <w:r>
        <w:rPr>
          <w:i/>
          <w:iCs/>
          <w:color w:val="000000"/>
          <w:spacing w:val="0"/>
          <w:w w:val="100"/>
          <w:position w:val="0"/>
          <w:shd w:val="clear" w:color="auto" w:fill="auto"/>
          <w:lang w:val="en-US" w:eastAsia="en-US" w:bidi="en-US"/>
        </w:rPr>
        <w:t>el modern</w:t>
      </w:r>
      <w:r>
        <w:rPr>
          <w:color w:val="000000"/>
          <w:spacing w:val="0"/>
          <w:w w:val="100"/>
          <w:position w:val="0"/>
          <w:sz w:val="15"/>
          <w:szCs w:val="15"/>
          <w:shd w:val="clear" w:color="auto" w:fill="auto"/>
          <w:lang w:val="en-US" w:eastAsia="en-US" w:bidi="en-US"/>
        </w:rPr>
        <w:t xml:space="preserve"> (Paris, 1881) ; Westcott, </w:t>
      </w:r>
      <w:r>
        <w:rPr>
          <w:i/>
          <w:iCs/>
          <w:color w:val="000000"/>
          <w:spacing w:val="0"/>
          <w:w w:val="100"/>
          <w:position w:val="0"/>
          <w:shd w:val="clear" w:color="auto" w:fill="auto"/>
          <w:lang w:val="en-US" w:eastAsia="en-US" w:bidi="en-US"/>
        </w:rPr>
        <w:t>Suicide: its History,</w:t>
      </w:r>
    </w:p>
    <w:p>
      <w:pPr>
        <w:pStyle w:val="Style2"/>
        <w:keepNext w:val="0"/>
        <w:keepLines w:val="0"/>
        <w:widowControl w:val="0"/>
        <w:shd w:val="clear" w:color="auto" w:fill="auto"/>
        <w:tabs>
          <w:tab w:pos="3986" w:val="left"/>
        </w:tabs>
        <w:bidi w:val="0"/>
        <w:spacing w:line="204" w:lineRule="auto"/>
        <w:ind w:left="0" w:firstLine="0"/>
        <w:jc w:val="left"/>
        <w:rPr>
          <w:sz w:val="15"/>
          <w:szCs w:val="15"/>
        </w:rPr>
      </w:pPr>
      <w:r>
        <w:rPr>
          <w:i/>
          <w:iCs/>
          <w:color w:val="000000"/>
          <w:spacing w:val="0"/>
          <w:w w:val="100"/>
          <w:position w:val="0"/>
          <w:sz w:val="16"/>
          <w:szCs w:val="16"/>
          <w:shd w:val="clear" w:color="auto" w:fill="auto"/>
          <w:lang w:val="en-US" w:eastAsia="en-US" w:bidi="en-US"/>
        </w:rPr>
        <w:t>Literature,</w:t>
      </w:r>
      <w:r>
        <w:rPr>
          <w:color w:val="000000"/>
          <w:spacing w:val="0"/>
          <w:w w:val="100"/>
          <w:position w:val="0"/>
          <w:sz w:val="15"/>
          <w:szCs w:val="15"/>
          <w:shd w:val="clear" w:color="auto" w:fill="auto"/>
          <w:lang w:val="en-US" w:eastAsia="en-US" w:bidi="en-US"/>
        </w:rPr>
        <w:t xml:space="preserve"> &amp;c. (London, 1885); Ogle, “Suicides in England and Wales, in relation to Age, Sex, Season, and Occupation," </w:t>
      </w:r>
      <w:r>
        <w:rPr>
          <w:i/>
          <w:iCs/>
          <w:color w:val="000000"/>
          <w:spacing w:val="0"/>
          <w:w w:val="100"/>
          <w:position w:val="0"/>
          <w:sz w:val="16"/>
          <w:szCs w:val="16"/>
          <w:shd w:val="clear" w:color="auto" w:fill="auto"/>
          <w:lang w:val="en-US" w:eastAsia="en-US" w:bidi="en-US"/>
        </w:rPr>
        <w:t>Journal of the Statistical Society</w:t>
      </w:r>
      <w:r>
        <w:rPr>
          <w:color w:val="000000"/>
          <w:spacing w:val="0"/>
          <w:w w:val="100"/>
          <w:position w:val="0"/>
          <w:sz w:val="15"/>
          <w:szCs w:val="15"/>
          <w:shd w:val="clear" w:color="auto" w:fill="auto"/>
          <w:lang w:val="en-US" w:eastAsia="en-US" w:bidi="en-US"/>
        </w:rPr>
        <w:t xml:space="preserve"> (1886), vol. xlix. ; Strahan, </w:t>
      </w:r>
      <w:r>
        <w:rPr>
          <w:i/>
          <w:iCs/>
          <w:color w:val="000000"/>
          <w:spacing w:val="0"/>
          <w:w w:val="100"/>
          <w:position w:val="0"/>
          <w:sz w:val="16"/>
          <w:szCs w:val="16"/>
          <w:shd w:val="clear" w:color="auto" w:fill="auto"/>
          <w:lang w:val="en-US" w:eastAsia="en-US" w:bidi="en-US"/>
        </w:rPr>
        <w:t>Suicide and Insanity</w:t>
      </w:r>
      <w:r>
        <w:rPr>
          <w:color w:val="000000"/>
          <w:spacing w:val="0"/>
          <w:w w:val="100"/>
          <w:position w:val="0"/>
          <w:sz w:val="15"/>
          <w:szCs w:val="15"/>
          <w:shd w:val="clear" w:color="auto" w:fill="auto"/>
          <w:lang w:val="en-US" w:eastAsia="en-US" w:bidi="en-US"/>
        </w:rPr>
        <w:t xml:space="preserve"> (London, 1893); </w:t>
      </w:r>
      <w:r>
        <w:rPr>
          <w:color w:val="000000"/>
          <w:spacing w:val="0"/>
          <w:w w:val="100"/>
          <w:position w:val="0"/>
          <w:sz w:val="15"/>
          <w:szCs w:val="15"/>
          <w:shd w:val="clear" w:color="auto" w:fill="auto"/>
          <w:lang w:val="de-DE" w:eastAsia="de-DE" w:bidi="de-DE"/>
        </w:rPr>
        <w:t xml:space="preserve">Mayr, “Selbstmord Statistik,” </w:t>
      </w:r>
      <w:r>
        <w:rPr>
          <w:color w:val="000000"/>
          <w:spacing w:val="0"/>
          <w:w w:val="100"/>
          <w:position w:val="0"/>
          <w:sz w:val="15"/>
          <w:szCs w:val="15"/>
          <w:shd w:val="clear" w:color="auto" w:fill="auto"/>
          <w:lang w:val="en-US" w:eastAsia="en-US" w:bidi="en-US"/>
        </w:rPr>
        <w:t xml:space="preserve">in </w:t>
      </w:r>
      <w:r>
        <w:rPr>
          <w:i/>
          <w:iCs/>
          <w:color w:val="000000"/>
          <w:spacing w:val="0"/>
          <w:w w:val="100"/>
          <w:position w:val="0"/>
          <w:sz w:val="16"/>
          <w:szCs w:val="16"/>
          <w:shd w:val="clear" w:color="auto" w:fill="auto"/>
          <w:lang w:val="de-DE" w:eastAsia="de-DE" w:bidi="de-DE"/>
        </w:rPr>
        <w:t>Hand</w:t>
        <w:softHyphen/>
        <w:t>wörterbuch der Staatswissenschaften</w:t>
      </w:r>
      <w:r>
        <w:rPr>
          <w:color w:val="000000"/>
          <w:spacing w:val="0"/>
          <w:w w:val="100"/>
          <w:position w:val="0"/>
          <w:sz w:val="15"/>
          <w:szCs w:val="15"/>
          <w:shd w:val="clear" w:color="auto" w:fill="auto"/>
          <w:lang w:val="de-DE" w:eastAsia="de-DE" w:bidi="de-DE"/>
        </w:rPr>
        <w:t xml:space="preserve"> (Jena, 1895); </w:t>
      </w:r>
      <w:r>
        <w:rPr>
          <w:color w:val="000000"/>
          <w:spacing w:val="0"/>
          <w:w w:val="100"/>
          <w:position w:val="0"/>
          <w:sz w:val="15"/>
          <w:szCs w:val="15"/>
          <w:shd w:val="clear" w:color="auto" w:fill="auto"/>
          <w:lang w:val="fr-FR" w:eastAsia="fr-FR" w:bidi="fr-FR"/>
        </w:rPr>
        <w:t xml:space="preserve">Durkheim, </w:t>
      </w:r>
      <w:r>
        <w:rPr>
          <w:i/>
          <w:iCs/>
          <w:color w:val="000000"/>
          <w:spacing w:val="0"/>
          <w:w w:val="100"/>
          <w:position w:val="0"/>
          <w:sz w:val="16"/>
          <w:szCs w:val="16"/>
          <w:shd w:val="clear" w:color="auto" w:fill="auto"/>
          <w:lang w:val="fr-FR" w:eastAsia="fr-FR" w:bidi="fr-FR"/>
        </w:rPr>
        <w:t>Le Suicide</w:t>
      </w:r>
      <w:r>
        <w:rPr>
          <w:color w:val="000000"/>
          <w:spacing w:val="0"/>
          <w:w w:val="100"/>
          <w:position w:val="0"/>
          <w:sz w:val="15"/>
          <w:szCs w:val="15"/>
          <w:shd w:val="clear" w:color="auto" w:fill="auto"/>
          <w:lang w:val="fr-FR" w:eastAsia="fr-FR" w:bidi="fr-FR"/>
        </w:rPr>
        <w:t xml:space="preserve"> (Paris, </w:t>
      </w:r>
      <w:r>
        <w:rPr>
          <w:color w:val="000000"/>
          <w:spacing w:val="0"/>
          <w:w w:val="100"/>
          <w:position w:val="0"/>
          <w:sz w:val="15"/>
          <w:szCs w:val="15"/>
          <w:shd w:val="clear" w:color="auto" w:fill="auto"/>
          <w:lang w:val="en-US" w:eastAsia="en-US" w:bidi="en-US"/>
        </w:rPr>
        <w:t>1897).</w:t>
        <w:tab/>
      </w:r>
      <w:r>
        <w:rPr>
          <w:color w:val="000000"/>
          <w:spacing w:val="0"/>
          <w:w w:val="100"/>
          <w:position w:val="0"/>
          <w:sz w:val="15"/>
          <w:szCs w:val="15"/>
          <w:shd w:val="clear" w:color="auto" w:fill="auto"/>
          <w:lang w:val="fr-FR" w:eastAsia="fr-FR" w:bidi="fr-FR"/>
        </w:rPr>
        <w:t>(H. H. L.)</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fr-FR" w:eastAsia="fr-FR" w:bidi="fr-FR"/>
        </w:rPr>
        <w:t>S</w:t>
      </w:r>
      <w:r>
        <w:rPr>
          <w:b/>
          <w:bCs/>
          <w:color w:val="000000"/>
          <w:spacing w:val="0"/>
          <w:w w:val="100"/>
          <w:position w:val="0"/>
          <w:sz w:val="15"/>
          <w:szCs w:val="15"/>
          <w:shd w:val="clear" w:color="auto" w:fill="auto"/>
          <w:lang w:val="en-US" w:eastAsia="en-US" w:bidi="en-US"/>
        </w:rPr>
        <w:t>Ū</w:t>
      </w:r>
      <w:r>
        <w:rPr>
          <w:b/>
          <w:bCs/>
          <w:color w:val="000000"/>
          <w:spacing w:val="0"/>
          <w:w w:val="100"/>
          <w:position w:val="0"/>
          <w:sz w:val="15"/>
          <w:szCs w:val="15"/>
          <w:shd w:val="clear" w:color="auto" w:fill="auto"/>
          <w:lang w:val="fr-FR" w:eastAsia="fr-FR" w:bidi="fr-FR"/>
        </w:rPr>
        <w:t xml:space="preserve">ÏDAS, </w:t>
      </w:r>
      <w:r>
        <w:rPr>
          <w:color w:val="000000"/>
          <w:spacing w:val="0"/>
          <w:w w:val="100"/>
          <w:position w:val="0"/>
          <w:shd w:val="clear" w:color="auto" w:fill="auto"/>
          <w:lang w:val="en-US" w:eastAsia="en-US" w:bidi="en-US"/>
        </w:rPr>
        <w:t xml:space="preserve">Greek lexicographer. Nothing is known of him, except that he must have lived before Eustathius (12th-13th century), who frequently quotes him. Under the heading “ Adam ” the author of the lexicon (which a prefatory note states to be “ by Sūïdas ”) gives a brief chronology of the world, ending with the death of the emperor John Zimisces (975), and under “ Constantinople ” his successors Basil and Constantine are mentioned. It would thus appear that Sûïdas lived in the latter part of the 10th century. The passages in which Michael Psellus (end of the 11th century) is referred to are considered later interpolations. The lexicon of Sūïdas is arranged alphabetically with some slight deviations, letters and combinations of letters having the same sound being placed together; thus, </w:t>
      </w:r>
      <w:r>
        <w:rPr>
          <w:i/>
          <w:iCs/>
          <w:color w:val="000000"/>
          <w:spacing w:val="0"/>
          <w:w w:val="100"/>
          <w:position w:val="0"/>
          <w:shd w:val="clear" w:color="auto" w:fill="auto"/>
          <w:lang w:val="en-US" w:eastAsia="en-US" w:bidi="en-US"/>
        </w:rPr>
        <w:t>αι</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 follow </w:t>
      </w:r>
      <w:r>
        <w:rPr>
          <w:i/>
          <w:iCs/>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ι</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η, ι</w:t>
      </w:r>
      <w:r>
        <w:rPr>
          <w:color w:val="000000"/>
          <w:spacing w:val="0"/>
          <w:w w:val="100"/>
          <w:position w:val="0"/>
          <w:shd w:val="clear" w:color="auto" w:fill="auto"/>
          <w:lang w:val="en-US" w:eastAsia="en-US" w:bidi="en-US"/>
        </w:rPr>
        <w:t xml:space="preserve"> follow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It partakes of the nature of a dictionary and encyclopaedia. It includes numerous quotations from ancient writers; the scholiasts on Aristophanes, Homer, Sophocles and Thucydides are also much used. The biographical notices, the author tells us, are condensed from the </w:t>
      </w:r>
      <w:r>
        <w:rPr>
          <w:i/>
          <w:iCs/>
          <w:color w:val="000000"/>
          <w:spacing w:val="0"/>
          <w:w w:val="100"/>
          <w:position w:val="0"/>
          <w:shd w:val="clear" w:color="auto" w:fill="auto"/>
          <w:lang w:val="en-US" w:eastAsia="en-US" w:bidi="en-US"/>
        </w:rPr>
        <w:t>Onomatologion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Pinax </w:t>
      </w:r>
      <w:r>
        <w:rPr>
          <w:color w:val="000000"/>
          <w:spacing w:val="0"/>
          <w:w w:val="100"/>
          <w:position w:val="0"/>
          <w:shd w:val="clear" w:color="auto" w:fill="auto"/>
          <w:lang w:val="en-US" w:eastAsia="en-US" w:bidi="en-US"/>
        </w:rPr>
        <w:t>of Hesychius of Miletus; other sources were the excerpts of Con</w:t>
        <w:softHyphen/>
        <w:t xml:space="preserve">stantine Porphyrogenitus, the chronicle of Georgius Monachus, the biographies of Diogenes Laertius and the works of Athenaeus and </w:t>
      </w:r>
      <w:r>
        <w:rPr>
          <w:color w:val="000000"/>
          <w:spacing w:val="0"/>
          <w:w w:val="100"/>
          <w:position w:val="0"/>
          <w:shd w:val="clear" w:color="auto" w:fill="auto"/>
          <w:lang w:val="fr-FR" w:eastAsia="fr-FR" w:bidi="fr-FR"/>
        </w:rPr>
        <w:t xml:space="preserve">Philostratus. </w:t>
      </w:r>
      <w:r>
        <w:rPr>
          <w:color w:val="000000"/>
          <w:spacing w:val="0"/>
          <w:w w:val="100"/>
          <w:position w:val="0"/>
          <w:shd w:val="clear" w:color="auto" w:fill="auto"/>
          <w:lang w:val="en-US" w:eastAsia="en-US" w:bidi="en-US"/>
        </w:rPr>
        <w:t>The work deals with scriptural as well as pagan subjects, from which it is inferred that the writer was a Christian. A prefatory note gives a list of dictionaries from which the lexical portion was compiled, together with the names of their authors. Although the work is uncritical and probably much interpolated, and the value of the articles is very unequal, it contains much information on ancient history and life.</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Editio princeps, by Demetrius Chalcondyles (1499); later editions by L. </w:t>
      </w:r>
      <w:r>
        <w:rPr>
          <w:color w:val="000000"/>
          <w:spacing w:val="0"/>
          <w:w w:val="100"/>
          <w:position w:val="0"/>
          <w:sz w:val="15"/>
          <w:szCs w:val="15"/>
          <w:shd w:val="clear" w:color="auto" w:fill="auto"/>
          <w:lang w:val="de-DE" w:eastAsia="de-DE" w:bidi="de-DE"/>
        </w:rPr>
        <w:t xml:space="preserve">Küster </w:t>
      </w:r>
      <w:r>
        <w:rPr>
          <w:color w:val="000000"/>
          <w:spacing w:val="0"/>
          <w:w w:val="100"/>
          <w:position w:val="0"/>
          <w:sz w:val="15"/>
          <w:szCs w:val="15"/>
          <w:shd w:val="clear" w:color="auto" w:fill="auto"/>
          <w:lang w:val="en-US" w:eastAsia="en-US" w:bidi="en-US"/>
        </w:rPr>
        <w:t xml:space="preserve">(1705), T. Gaisford (1834), G. Bemhardy (1834-1853) and I. Bekker (1854); see A. Daub, </w:t>
      </w:r>
      <w:r>
        <w:rPr>
          <w:i/>
          <w:iCs/>
          <w:color w:val="000000"/>
          <w:spacing w:val="0"/>
          <w:w w:val="100"/>
          <w:position w:val="0"/>
          <w:sz w:val="16"/>
          <w:szCs w:val="16"/>
          <w:shd w:val="clear" w:color="auto" w:fill="auto"/>
          <w:lang w:val="en-US" w:eastAsia="en-US" w:bidi="en-US"/>
        </w:rPr>
        <w:t xml:space="preserve">De S. Biographιcorum </w:t>
      </w:r>
      <w:r>
        <w:rPr>
          <w:i/>
          <w:iCs/>
          <w:color w:val="000000"/>
          <w:spacing w:val="0"/>
          <w:w w:val="100"/>
          <w:position w:val="0"/>
          <w:sz w:val="16"/>
          <w:szCs w:val="16"/>
          <w:shd w:val="clear" w:color="auto" w:fill="auto"/>
          <w:lang w:val="fr-FR" w:eastAsia="fr-FR" w:bidi="fr-FR"/>
        </w:rPr>
        <w:t xml:space="preserve">origine et </w:t>
      </w:r>
      <w:r>
        <w:rPr>
          <w:i/>
          <w:iCs/>
          <w:color w:val="000000"/>
          <w:spacing w:val="0"/>
          <w:w w:val="100"/>
          <w:position w:val="0"/>
          <w:sz w:val="16"/>
          <w:szCs w:val="16"/>
          <w:shd w:val="clear" w:color="auto" w:fill="auto"/>
          <w:lang w:val="en-US" w:eastAsia="en-US" w:bidi="en-US"/>
        </w:rPr>
        <w:t>fide</w:t>
      </w:r>
      <w:r>
        <w:rPr>
          <w:color w:val="000000"/>
          <w:spacing w:val="0"/>
          <w:w w:val="100"/>
          <w:position w:val="0"/>
          <w:sz w:val="15"/>
          <w:szCs w:val="15"/>
          <w:shd w:val="clear" w:color="auto" w:fill="auto"/>
          <w:lang w:val="en-US" w:eastAsia="en-US" w:bidi="en-US"/>
        </w:rPr>
        <w:t xml:space="preserve"> (1880) and </w:t>
      </w:r>
      <w:r>
        <w:rPr>
          <w:i/>
          <w:iCs/>
          <w:color w:val="000000"/>
          <w:spacing w:val="0"/>
          <w:w w:val="100"/>
          <w:position w:val="0"/>
          <w:sz w:val="16"/>
          <w:szCs w:val="16"/>
          <w:shd w:val="clear" w:color="auto" w:fill="auto"/>
          <w:lang w:val="de-DE" w:eastAsia="de-DE" w:bidi="de-DE"/>
        </w:rPr>
        <w:t xml:space="preserve">Studien zu </w:t>
      </w:r>
      <w:r>
        <w:rPr>
          <w:i/>
          <w:iCs/>
          <w:color w:val="000000"/>
          <w:spacing w:val="0"/>
          <w:w w:val="100"/>
          <w:position w:val="0"/>
          <w:sz w:val="16"/>
          <w:szCs w:val="16"/>
          <w:shd w:val="clear" w:color="auto" w:fill="auto"/>
          <w:lang w:val="en-US" w:eastAsia="en-US" w:bidi="en-US"/>
        </w:rPr>
        <w:t xml:space="preserve">den Biographika </w:t>
      </w:r>
      <w:r>
        <w:rPr>
          <w:i/>
          <w:iCs/>
          <w:color w:val="000000"/>
          <w:spacing w:val="0"/>
          <w:w w:val="100"/>
          <w:position w:val="0"/>
          <w:sz w:val="16"/>
          <w:szCs w:val="16"/>
          <w:shd w:val="clear" w:color="auto" w:fill="auto"/>
          <w:lang w:val="fr-FR" w:eastAsia="fr-FR" w:bidi="fr-FR"/>
        </w:rPr>
        <w:t>des S.</w:t>
      </w:r>
      <w:r>
        <w:rPr>
          <w:color w:val="000000"/>
          <w:spacing w:val="0"/>
          <w:w w:val="100"/>
          <w:position w:val="0"/>
          <w:sz w:val="15"/>
          <w:szCs w:val="15"/>
          <w:shd w:val="clear" w:color="auto" w:fill="auto"/>
          <w:lang w:val="fr-FR" w:eastAsia="fr-FR" w:bidi="fr-FR"/>
        </w:rPr>
        <w:t xml:space="preserve"> (1882); </w:t>
      </w:r>
      <w:r>
        <w:rPr>
          <w:color w:val="000000"/>
          <w:spacing w:val="0"/>
          <w:w w:val="100"/>
          <w:position w:val="0"/>
          <w:sz w:val="15"/>
          <w:szCs w:val="15"/>
          <w:shd w:val="clear" w:color="auto" w:fill="auto"/>
          <w:lang w:val="en-US" w:eastAsia="en-US" w:bidi="en-US"/>
        </w:rPr>
        <w:t xml:space="preserve">and </w:t>
      </w:r>
      <w:r>
        <w:rPr>
          <w:color w:val="000000"/>
          <w:spacing w:val="0"/>
          <w:w w:val="100"/>
          <w:position w:val="0"/>
          <w:sz w:val="15"/>
          <w:szCs w:val="15"/>
          <w:shd w:val="clear" w:color="auto" w:fill="auto"/>
          <w:lang w:val="fr-FR" w:eastAsia="fr-FR" w:bidi="fr-FR"/>
        </w:rPr>
        <w:t xml:space="preserve">J. E. </w:t>
      </w:r>
      <w:r>
        <w:rPr>
          <w:color w:val="000000"/>
          <w:spacing w:val="0"/>
          <w:w w:val="100"/>
          <w:position w:val="0"/>
          <w:sz w:val="15"/>
          <w:szCs w:val="15"/>
          <w:shd w:val="clear" w:color="auto" w:fill="auto"/>
          <w:lang w:val="de-DE" w:eastAsia="de-DE" w:bidi="de-DE"/>
        </w:rPr>
        <w:t xml:space="preserve">Sandys, </w:t>
      </w:r>
      <w:r>
        <w:rPr>
          <w:i/>
          <w:iCs/>
          <w:color w:val="000000"/>
          <w:spacing w:val="0"/>
          <w:w w:val="100"/>
          <w:position w:val="0"/>
          <w:sz w:val="16"/>
          <w:szCs w:val="16"/>
          <w:shd w:val="clear" w:color="auto" w:fill="auto"/>
          <w:lang w:val="en-US" w:eastAsia="en-US" w:bidi="en-US"/>
        </w:rPr>
        <w:t>Hist, of Cassical Scholarship</w:t>
      </w:r>
      <w:r>
        <w:rPr>
          <w:color w:val="000000"/>
          <w:spacing w:val="0"/>
          <w:w w:val="100"/>
          <w:position w:val="0"/>
          <w:sz w:val="15"/>
          <w:szCs w:val="15"/>
          <w:shd w:val="clear" w:color="auto" w:fill="auto"/>
          <w:lang w:val="en-US" w:eastAsia="en-US" w:bidi="en-US"/>
        </w:rPr>
        <w:t xml:space="preserve"> (1906), p. 407.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SUIDUN </w:t>
      </w:r>
      <w:r>
        <w:rPr>
          <w:color w:val="000000"/>
          <w:spacing w:val="0"/>
          <w:w w:val="100"/>
          <w:position w:val="0"/>
          <w:shd w:val="clear" w:color="auto" w:fill="auto"/>
          <w:lang w:val="en-US" w:eastAsia="en-US" w:bidi="en-US"/>
        </w:rPr>
        <w:t xml:space="preserve">(Chinese, </w:t>
      </w:r>
      <w:r>
        <w:rPr>
          <w:i/>
          <w:iCs/>
          <w:color w:val="000000"/>
          <w:spacing w:val="0"/>
          <w:w w:val="100"/>
          <w:position w:val="0"/>
          <w:shd w:val="clear" w:color="auto" w:fill="auto"/>
          <w:lang w:val="en-US" w:eastAsia="en-US" w:bidi="en-US"/>
        </w:rPr>
        <w:t>Sui-din-chen),</w:t>
      </w:r>
      <w:r>
        <w:rPr>
          <w:b/>
          <w:bCs/>
          <w:color w:val="000000"/>
          <w:spacing w:val="0"/>
          <w:w w:val="100"/>
          <w:position w:val="0"/>
          <w:sz w:val="15"/>
          <w:szCs w:val="15"/>
          <w:shd w:val="clear" w:color="auto" w:fill="auto"/>
          <w:lang w:val="en-US" w:eastAsia="en-US" w:bidi="en-US"/>
        </w:rPr>
        <w:t xml:space="preserve"> a </w:t>
      </w:r>
      <w:r>
        <w:rPr>
          <w:color w:val="000000"/>
          <w:spacing w:val="0"/>
          <w:w w:val="100"/>
          <w:position w:val="0"/>
          <w:shd w:val="clear" w:color="auto" w:fill="auto"/>
          <w:lang w:val="en-US" w:eastAsia="en-US" w:bidi="en-US"/>
        </w:rPr>
        <w:t>town of China, capital of the province of Kulja. It is the residence of the governor-general, and was founded in 1762 during the Mussulman rising, and rebuilt in 1883. It is a military town, with provision stores, an arsenal and an arms workshop. Its walls are armed with steel guns.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SUINA, </w:t>
      </w:r>
      <w:r>
        <w:rPr>
          <w:color w:val="000000"/>
          <w:spacing w:val="0"/>
          <w:w w:val="100"/>
          <w:position w:val="0"/>
          <w:shd w:val="clear" w:color="auto" w:fill="auto"/>
          <w:lang w:val="en-US" w:eastAsia="en-US" w:bidi="en-US"/>
        </w:rPr>
        <w:t xml:space="preserve">a group of non-ruminating artiodactyle ungulate mammals typified by the swine (Suidae), but also including the hippopotamus (Hippopotamidae), and certain extinct forms. (See </w:t>
      </w:r>
      <w:r>
        <w:rPr>
          <w:smallCaps/>
          <w:color w:val="000000"/>
          <w:spacing w:val="0"/>
          <w:w w:val="100"/>
          <w:position w:val="0"/>
          <w:shd w:val="clear" w:color="auto" w:fill="auto"/>
          <w:lang w:val="en-US" w:eastAsia="en-US" w:bidi="en-US"/>
        </w:rPr>
        <w:t>Artiodactyla; Hippopotamus; Peccary; Swine.)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SUITE </w:t>
      </w:r>
      <w:r>
        <w:rPr>
          <w:i/>
          <w:iCs/>
          <w:color w:val="000000"/>
          <w:spacing w:val="0"/>
          <w:w w:val="100"/>
          <w:position w:val="0"/>
          <w:shd w:val="clear" w:color="auto" w:fill="auto"/>
          <w:lang w:val="en-US" w:eastAsia="en-US" w:bidi="en-US"/>
        </w:rPr>
        <w:t xml:space="preserve">(Suite </w:t>
      </w:r>
      <w:r>
        <w:rPr>
          <w:i/>
          <w:iCs/>
          <w:color w:val="000000"/>
          <w:spacing w:val="0"/>
          <w:w w:val="100"/>
          <w:position w:val="0"/>
          <w:shd w:val="clear" w:color="auto" w:fill="auto"/>
          <w:lang w:val="fr-FR" w:eastAsia="fr-FR" w:bidi="fr-FR"/>
        </w:rPr>
        <w:t xml:space="preserve">de pièces', Ordre, </w:t>
      </w:r>
      <w:r>
        <w:rPr>
          <w:i/>
          <w:iCs/>
          <w:color w:val="000000"/>
          <w:spacing w:val="0"/>
          <w:w w:val="100"/>
          <w:position w:val="0"/>
          <w:shd w:val="clear" w:color="auto" w:fill="auto"/>
          <w:lang w:val="en-US" w:eastAsia="en-US" w:bidi="en-US"/>
        </w:rPr>
        <w:t>Partita),</w:t>
      </w:r>
      <w:r>
        <w:rPr>
          <w:color w:val="000000"/>
          <w:spacing w:val="0"/>
          <w:w w:val="100"/>
          <w:position w:val="0"/>
          <w:shd w:val="clear" w:color="auto" w:fill="auto"/>
          <w:lang w:val="en-US" w:eastAsia="en-US" w:bidi="en-US"/>
        </w:rPr>
        <w:t xml:space="preserve"> in music, a group of dance tunes, mostly in binary form, of a type which may be described as “decorative” (see </w:t>
      </w:r>
      <w:r>
        <w:rPr>
          <w:smallCaps/>
          <w:color w:val="000000"/>
          <w:spacing w:val="0"/>
          <w:w w:val="100"/>
          <w:position w:val="0"/>
          <w:shd w:val="clear" w:color="auto" w:fill="auto"/>
          <w:lang w:val="en-US" w:eastAsia="en-US" w:bidi="en-US"/>
        </w:rPr>
        <w:t>Sonata Forms);</w:t>
      </w:r>
      <w:r>
        <w:rPr>
          <w:color w:val="000000"/>
          <w:spacing w:val="0"/>
          <w:w w:val="100"/>
          <w:position w:val="0"/>
          <w:shd w:val="clear" w:color="auto" w:fill="auto"/>
          <w:lang w:val="en-US" w:eastAsia="en-US" w:bidi="en-US"/>
        </w:rPr>
        <w:t xml:space="preserve"> constituting that classical form of early 18th-century instrumental music which most nearly foreshadows the later sonata. As understood by Bach, it consists essentially of four principal movements with the insertion of one or more lighter movements between the third and the last. The first movement is the </w:t>
      </w:r>
      <w:r>
        <w:rPr>
          <w:i/>
          <w:iCs/>
          <w:color w:val="000000"/>
          <w:spacing w:val="0"/>
          <w:w w:val="100"/>
          <w:position w:val="0"/>
          <w:shd w:val="clear" w:color="auto" w:fill="auto"/>
          <w:lang w:val="fr-FR" w:eastAsia="fr-FR" w:bidi="fr-FR"/>
        </w:rPr>
        <w:t>allemande,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solid and intricate texture, in slow common time and rich flowing rhythm, beginning with one or three short notes before the first full bar. The second movement is the </w:t>
      </w:r>
      <w:r>
        <w:rPr>
          <w:i/>
          <w:iCs/>
          <w:color w:val="000000"/>
          <w:spacing w:val="0"/>
          <w:w w:val="100"/>
          <w:position w:val="0"/>
          <w:shd w:val="clear" w:color="auto" w:fill="auto"/>
          <w:lang w:val="fr-FR" w:eastAsia="fr-FR" w:bidi="fr-FR"/>
        </w:rPr>
        <w:t xml:space="preserve">courante,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which there are two kinds. The French </w:t>
      </w:r>
      <w:r>
        <w:rPr>
          <w:color w:val="000000"/>
          <w:spacing w:val="0"/>
          <w:w w:val="100"/>
          <w:position w:val="0"/>
          <w:shd w:val="clear" w:color="auto" w:fill="auto"/>
          <w:lang w:val="fr-FR" w:eastAsia="fr-FR" w:bidi="fr-FR"/>
        </w:rPr>
        <w:t xml:space="preserve">courante </w:t>
      </w:r>
      <w:r>
        <w:rPr>
          <w:color w:val="000000"/>
          <w:spacing w:val="0"/>
          <w:w w:val="100"/>
          <w:position w:val="0"/>
          <w:shd w:val="clear" w:color="auto" w:fill="auto"/>
          <w:lang w:val="en-US" w:eastAsia="en-US" w:bidi="en-US"/>
        </w:rPr>
        <w:t>is again an intricate movement, also beginning with one or three notes before the main beat, and in a triple time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which, invariably at the cadences and sometimes elsewhere, drops into a crossing triple rhythm of twice the pace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The effect is restless and confused, and was supposed to form a contrast to the </w:t>
      </w:r>
      <w:r>
        <w:rPr>
          <w:color w:val="000000"/>
          <w:spacing w:val="0"/>
          <w:w w:val="100"/>
          <w:position w:val="0"/>
          <w:shd w:val="clear" w:color="auto" w:fill="auto"/>
          <w:lang w:val="fr-FR" w:eastAsia="fr-FR" w:bidi="fr-FR"/>
        </w:rPr>
        <w:t xml:space="preserve">allemande; </w:t>
      </w:r>
      <w:r>
        <w:rPr>
          <w:color w:val="000000"/>
          <w:spacing w:val="0"/>
          <w:w w:val="100"/>
          <w:position w:val="0"/>
          <w:shd w:val="clear" w:color="auto" w:fill="auto"/>
          <w:lang w:val="en-US" w:eastAsia="en-US" w:bidi="en-US"/>
        </w:rPr>
        <w:t xml:space="preserve">but it seldom did so effectively. Bach’s study of Couperin led him to use the French </w:t>
      </w:r>
      <w:r>
        <w:rPr>
          <w:color w:val="000000"/>
          <w:spacing w:val="0"/>
          <w:w w:val="100"/>
          <w:position w:val="0"/>
          <w:shd w:val="clear" w:color="auto" w:fill="auto"/>
          <w:lang w:val="fr-FR" w:eastAsia="fr-FR" w:bidi="fr-FR"/>
        </w:rPr>
        <w:t xml:space="preserve">courante </w:t>
      </w:r>
      <w:r>
        <w:rPr>
          <w:color w:val="000000"/>
          <w:spacing w:val="0"/>
          <w:w w:val="100"/>
          <w:position w:val="0"/>
          <w:shd w:val="clear" w:color="auto" w:fill="auto"/>
          <w:lang w:val="en-US" w:eastAsia="en-US" w:bidi="en-US"/>
        </w:rPr>
        <w:t xml:space="preserve">frequently, but he was happier with the Italian type of </w:t>
      </w:r>
      <w:r>
        <w:rPr>
          <w:i/>
          <w:iCs/>
          <w:color w:val="000000"/>
          <w:spacing w:val="0"/>
          <w:w w:val="100"/>
          <w:position w:val="0"/>
          <w:shd w:val="clear" w:color="auto" w:fill="auto"/>
          <w:lang w:val="en-US" w:eastAsia="en-US" w:bidi="en-US"/>
        </w:rPr>
        <w:t xml:space="preserve">corrente, </w:t>
      </w:r>
      <w:r>
        <w:rPr>
          <w:color w:val="000000"/>
          <w:spacing w:val="0"/>
          <w:w w:val="100"/>
          <w:position w:val="0"/>
          <w:shd w:val="clear" w:color="auto" w:fill="auto"/>
          <w:lang w:val="en-US" w:eastAsia="en-US" w:bidi="en-US"/>
        </w:rPr>
        <w:t>which did not owe its name, like the French type, to the use of spasmodic runs, but was a brilliant continuously running piece in quick triple time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forming a clear and lively contrast both to the </w:t>
      </w:r>
      <w:r>
        <w:rPr>
          <w:color w:val="000000"/>
          <w:spacing w:val="0"/>
          <w:w w:val="100"/>
          <w:position w:val="0"/>
          <w:shd w:val="clear" w:color="auto" w:fill="auto"/>
          <w:lang w:val="fr-FR" w:eastAsia="fr-FR" w:bidi="fr-FR"/>
        </w:rPr>
        <w:t xml:space="preserve">allemande </w:t>
      </w:r>
      <w:r>
        <w:rPr>
          <w:color w:val="000000"/>
          <w:spacing w:val="0"/>
          <w:w w:val="100"/>
          <w:position w:val="0"/>
          <w:shd w:val="clear" w:color="auto" w:fill="auto"/>
          <w:lang w:val="en-US" w:eastAsia="en-US" w:bidi="en-US"/>
        </w:rPr>
        <w:t xml:space="preserve">and to the third movement, which is generally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sarabande.</w:t>
      </w:r>
    </w:p>
    <w:p>
      <w:pPr>
        <w:widowControl w:val="0"/>
        <w:spacing w:line="1" w:lineRule="exact"/>
      </w:pPr>
    </w:p>
    <w:sectPr>
      <w:footnotePr>
        <w:pos w:val="pageBottom"/>
        <w:numFmt w:val="decimal"/>
        <w:numRestart w:val="continuous"/>
      </w:footnotePr>
      <w:type w:val="continuous"/>
      <w:pgSz w:w="12240" w:h="15840"/>
      <w:pgMar w:top="1229" w:left="1157" w:right="1022" w:bottom="7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5">
    <w:name w:val="Table caption_"/>
    <w:basedOn w:val="DefaultParagraphFont"/>
    <w:link w:val="Style4"/>
    <w:rPr>
      <w:rFonts w:ascii="Georgia" w:eastAsia="Georgia" w:hAnsi="Georgia" w:cs="Georgia"/>
      <w:b w:val="0"/>
      <w:bCs w:val="0"/>
      <w:i w:val="0"/>
      <w:iCs w:val="0"/>
      <w:smallCaps w:val="0"/>
      <w:strike w:val="0"/>
      <w:sz w:val="15"/>
      <w:szCs w:val="15"/>
      <w:u w:val="none"/>
    </w:rPr>
  </w:style>
  <w:style w:type="character" w:customStyle="1" w:styleId="CharStyle10">
    <w:name w:val="Other_"/>
    <w:basedOn w:val="DefaultParagraphFont"/>
    <w:link w:val="Style9"/>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4">
    <w:name w:val="Table caption"/>
    <w:basedOn w:val="Normal"/>
    <w:link w:val="CharStyle5"/>
    <w:pPr>
      <w:widowControl w:val="0"/>
      <w:shd w:val="clear" w:color="auto" w:fill="FFFFFF"/>
      <w:spacing w:line="226" w:lineRule="auto"/>
      <w:ind w:left="520" w:hanging="520"/>
    </w:pPr>
    <w:rPr>
      <w:rFonts w:ascii="Georgia" w:eastAsia="Georgia" w:hAnsi="Georgia" w:cs="Georgia"/>
      <w:b w:val="0"/>
      <w:bCs w:val="0"/>
      <w:i w:val="0"/>
      <w:iCs w:val="0"/>
      <w:smallCaps w:val="0"/>
      <w:strike w:val="0"/>
      <w:sz w:val="15"/>
      <w:szCs w:val="15"/>
      <w:u w:val="none"/>
    </w:rPr>
  </w:style>
  <w:style w:type="paragraph" w:customStyle="1" w:styleId="Style9">
    <w:name w:val="Other"/>
    <w:basedOn w:val="Normal"/>
    <w:link w:val="CharStyle10"/>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