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who cited, for example, the following very common interdialectic variations: Eme-ku </w:t>
      </w:r>
      <w:r>
        <w:rPr>
          <w:i/>
          <w:iCs/>
          <w:color w:val="000000"/>
          <w:spacing w:val="0"/>
          <w:w w:val="100"/>
          <w:position w:val="0"/>
          <w:shd w:val="clear" w:color="auto" w:fill="auto"/>
          <w:lang w:val="en-US" w:eastAsia="en-US" w:bidi="en-US"/>
        </w:rPr>
        <w:t>gir</w:t>
      </w:r>
      <w:r>
        <w:rPr>
          <w:color w:val="000000"/>
          <w:spacing w:val="0"/>
          <w:w w:val="100"/>
          <w:position w:val="0"/>
          <w:shd w:val="clear" w:color="auto" w:fill="auto"/>
          <w:lang w:val="en-US" w:eastAsia="en-US" w:bidi="en-US"/>
        </w:rPr>
        <w:t xml:space="preserve"> = Eme-sal </w:t>
      </w:r>
      <w:r>
        <w:rPr>
          <w:i/>
          <w:iCs/>
          <w:color w:val="000000"/>
          <w:spacing w:val="0"/>
          <w:w w:val="100"/>
          <w:position w:val="0"/>
          <w:shd w:val="clear" w:color="auto" w:fill="auto"/>
          <w:lang w:val="en-US" w:eastAsia="en-US" w:bidi="en-US"/>
        </w:rPr>
        <w:t>mcri,</w:t>
      </w:r>
      <w:r>
        <w:rPr>
          <w:color w:val="000000"/>
          <w:spacing w:val="0"/>
          <w:w w:val="100"/>
          <w:position w:val="0"/>
          <w:shd w:val="clear" w:color="auto" w:fill="auto"/>
          <w:lang w:val="en-US" w:eastAsia="en-US" w:bidi="en-US"/>
        </w:rPr>
        <w:t xml:space="preserve"> “ foot ”; Eme-ku </w:t>
      </w:r>
      <w:r>
        <w:rPr>
          <w:i/>
          <w:iCs/>
          <w:color w:val="000000"/>
          <w:spacing w:val="0"/>
          <w:w w:val="100"/>
          <w:position w:val="0"/>
          <w:shd w:val="clear" w:color="auto" w:fill="auto"/>
          <w:lang w:val="en-US" w:eastAsia="en-US" w:bidi="en-US"/>
        </w:rPr>
        <w:t>ner</w:t>
      </w:r>
      <w:r>
        <w:rPr>
          <w:color w:val="000000"/>
          <w:spacing w:val="0"/>
          <w:w w:val="100"/>
          <w:position w:val="0"/>
          <w:shd w:val="clear" w:color="auto" w:fill="auto"/>
          <w:lang w:val="en-US" w:eastAsia="en-US" w:bidi="en-US"/>
        </w:rPr>
        <w:t xml:space="preserve"> = Erne-sal </w:t>
      </w:r>
      <w:r>
        <w:rPr>
          <w:i/>
          <w:iCs/>
          <w:color w:val="000000"/>
          <w:spacing w:val="0"/>
          <w:w w:val="100"/>
          <w:position w:val="0"/>
          <w:shd w:val="clear" w:color="auto" w:fill="auto"/>
          <w:lang w:val="en-US" w:eastAsia="en-US" w:bidi="en-US"/>
        </w:rPr>
        <w:t>sher,</w:t>
      </w:r>
      <w:r>
        <w:rPr>
          <w:color w:val="000000"/>
          <w:spacing w:val="0"/>
          <w:w w:val="100"/>
          <w:position w:val="0"/>
          <w:shd w:val="clear" w:color="auto" w:fill="auto"/>
          <w:lang w:val="en-US" w:eastAsia="en-US" w:bidi="en-US"/>
        </w:rPr>
        <w:t xml:space="preserve"> “ruler”; Eme-ku </w:t>
      </w:r>
      <w:r>
        <w:rPr>
          <w:i/>
          <w:iCs/>
          <w:color w:val="000000"/>
          <w:spacing w:val="0"/>
          <w:w w:val="100"/>
          <w:position w:val="0"/>
          <w:shd w:val="clear" w:color="auto" w:fill="auto"/>
          <w:lang w:val="en-US" w:eastAsia="en-US" w:bidi="en-US"/>
        </w:rPr>
        <w:t>duga=</w:t>
      </w:r>
      <w:r>
        <w:rPr>
          <w:color w:val="000000"/>
          <w:spacing w:val="0"/>
          <w:w w:val="100"/>
          <w:position w:val="0"/>
          <w:shd w:val="clear" w:color="auto" w:fill="auto"/>
          <w:lang w:val="en-US" w:eastAsia="en-US" w:bidi="en-US"/>
        </w:rPr>
        <w:t xml:space="preserve"> Eme-sal </w:t>
      </w:r>
      <w:r>
        <w:rPr>
          <w:i/>
          <w:iCs/>
          <w:color w:val="000000"/>
          <w:spacing w:val="0"/>
          <w:w w:val="100"/>
          <w:position w:val="0"/>
          <w:shd w:val="clear" w:color="auto" w:fill="auto"/>
          <w:lang w:val="en-US" w:eastAsia="en-US" w:bidi="en-US"/>
        </w:rPr>
        <w:t xml:space="preserve">zeba, </w:t>
      </w:r>
      <w:r>
        <w:rPr>
          <w:color w:val="000000"/>
          <w:spacing w:val="0"/>
          <w:w w:val="100"/>
          <w:position w:val="0"/>
          <w:shd w:val="clear" w:color="auto" w:fill="auto"/>
          <w:lang w:val="en-US" w:eastAsia="en-US" w:bidi="en-US"/>
        </w:rPr>
        <w:t>“ knee,” &amp;c. Such phonetic and dialectic changes, so different from any of the Semitic linguistic phenomena, are all the more valuable because they are set before us only by means of Semitic equivalents. Certainly no cryptography based exclusively on Semitic could exhibit this sort of interchange.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should be added here in passing that the geographical or tribal significance of these two Sumerian dialects has never been established. There can be no doubt that Eme-sal means “ woman’s language,” and it was perhaps thus designated because it was a softer idiom phonetically than the other dialect. In it were written most of the penitential hymns, which were possibly thought to require a more euphonious idiom than, for example, hymns of praise. It is doubtful whether the Eme-sal was ever really a woman’s language similar in character to that of the Carib women of the Antilles, or that of the Eskimo women of Greenland. It is much more likely that the two dialects were thus designated because of their respectively harsh and soft phonetics.@@</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Sumerian has a system of vowel harmony strikingly like that seen in all modern agglutinative languages, and it has also vocalic dissimilation similar to that found in modern Finnish and Esthonian. Vocalic harmony is the internal bringing together of vowels of the same class for the sake of greater euphony, while vocalic dissimilation is the deliberate insertion of another class of vowels, in order to prevent the disagreeable monotony arising from too prolonged a vowel harmony. Thus, in Sumerian we find such forms as </w:t>
      </w:r>
      <w:r>
        <w:rPr>
          <w:i/>
          <w:iCs/>
          <w:color w:val="000000"/>
          <w:spacing w:val="0"/>
          <w:w w:val="100"/>
          <w:position w:val="0"/>
          <w:shd w:val="clear" w:color="auto" w:fill="auto"/>
          <w:lang w:val="en-US" w:eastAsia="en-US" w:bidi="en-US"/>
        </w:rPr>
        <w:t>numunnib-bi, “</w:t>
      </w:r>
      <w:r>
        <w:rPr>
          <w:color w:val="000000"/>
          <w:spacing w:val="0"/>
          <w:w w:val="100"/>
          <w:position w:val="0"/>
          <w:shd w:val="clear" w:color="auto" w:fill="auto"/>
          <w:lang w:val="en-US" w:eastAsia="en-US" w:bidi="en-US"/>
        </w:rPr>
        <w:t xml:space="preserve"> he speaks not to him,” where the negative prefix </w:t>
      </w:r>
      <w:r>
        <w:rPr>
          <w:i/>
          <w:iCs/>
          <w:color w:val="000000"/>
          <w:spacing w:val="0"/>
          <w:w w:val="100"/>
          <w:position w:val="0"/>
          <w:shd w:val="clear" w:color="auto" w:fill="auto"/>
          <w:lang w:val="en-US" w:eastAsia="en-US" w:bidi="en-US"/>
        </w:rPr>
        <w:t>mi</w:t>
      </w:r>
      <w:r>
        <w:rPr>
          <w:color w:val="000000"/>
          <w:spacing w:val="0"/>
          <w:w w:val="100"/>
          <w:position w:val="0"/>
          <w:shd w:val="clear" w:color="auto" w:fill="auto"/>
          <w:lang w:val="en-US" w:eastAsia="en-US" w:bidi="en-US"/>
        </w:rPr>
        <w:t xml:space="preserve"> and the verbal prefix </w:t>
      </w:r>
      <w:r>
        <w:rPr>
          <w:i/>
          <w:iCs/>
          <w:color w:val="000000"/>
          <w:spacing w:val="0"/>
          <w:w w:val="100"/>
          <w:position w:val="0"/>
          <w:shd w:val="clear" w:color="auto" w:fill="auto"/>
          <w:lang w:val="en-US" w:eastAsia="en-US" w:bidi="en-US"/>
        </w:rPr>
        <w:t>mun</w:t>
      </w:r>
      <w:r>
        <w:rPr>
          <w:color w:val="000000"/>
          <w:spacing w:val="0"/>
          <w:w w:val="100"/>
          <w:position w:val="0"/>
          <w:shd w:val="clear" w:color="auto" w:fill="auto"/>
          <w:lang w:val="en-US" w:eastAsia="en-US" w:bidi="en-US"/>
        </w:rPr>
        <w:t xml:space="preserve"> are in harmony, but in dissimilation to the infix </w:t>
      </w:r>
      <w:r>
        <w:rPr>
          <w:i/>
          <w:iCs/>
          <w:color w:val="000000"/>
          <w:spacing w:val="0"/>
          <w:w w:val="100"/>
          <w:position w:val="0"/>
          <w:shd w:val="clear" w:color="auto" w:fill="auto"/>
          <w:lang w:val="en-US" w:eastAsia="en-US" w:bidi="en-US"/>
        </w:rPr>
        <w:t>nib, “</w:t>
      </w:r>
      <w:r>
        <w:rPr>
          <w:color w:val="000000"/>
          <w:spacing w:val="0"/>
          <w:w w:val="100"/>
          <w:position w:val="0"/>
          <w:shd w:val="clear" w:color="auto" w:fill="auto"/>
          <w:lang w:val="en-US" w:eastAsia="en-US" w:bidi="en-US"/>
        </w:rPr>
        <w:t xml:space="preserve"> to him,” and to the root </w:t>
      </w:r>
      <w:r>
        <w:rPr>
          <w:i/>
          <w:iCs/>
          <w:color w:val="000000"/>
          <w:spacing w:val="0"/>
          <w:w w:val="100"/>
          <w:position w:val="0"/>
          <w:shd w:val="clear" w:color="auto" w:fill="auto"/>
          <w:lang w:val="en-US" w:eastAsia="en-US" w:bidi="en-US"/>
        </w:rPr>
        <w:t>bi, “</w:t>
      </w:r>
      <w:r>
        <w:rPr>
          <w:color w:val="000000"/>
          <w:spacing w:val="0"/>
          <w:w w:val="100"/>
          <w:position w:val="0"/>
          <w:shd w:val="clear" w:color="auto" w:fill="auto"/>
          <w:lang w:val="en-US" w:eastAsia="en-US" w:bidi="en-US"/>
        </w:rPr>
        <w:t xml:space="preserve"> speak,” which are also in harmony. Compare also </w:t>
      </w:r>
      <w:r>
        <w:rPr>
          <w:i/>
          <w:iCs/>
          <w:color w:val="000000"/>
          <w:spacing w:val="0"/>
          <w:w w:val="100"/>
          <w:position w:val="0"/>
          <w:shd w:val="clear" w:color="auto" w:fill="auto"/>
          <w:lang w:val="en-US" w:eastAsia="en-US" w:bidi="en-US"/>
        </w:rPr>
        <w:t>an-sud-dam, “</w:t>
      </w:r>
      <w:r>
        <w:rPr>
          <w:color w:val="000000"/>
          <w:spacing w:val="0"/>
          <w:w w:val="100"/>
          <w:position w:val="0"/>
          <w:shd w:val="clear" w:color="auto" w:fill="auto"/>
          <w:lang w:val="en-US" w:eastAsia="en-US" w:bidi="en-US"/>
        </w:rPr>
        <w:t xml:space="preserve"> like the heavens,” where the ending </w:t>
      </w:r>
      <w:r>
        <w:rPr>
          <w:i/>
          <w:iCs/>
          <w:color w:val="000000"/>
          <w:spacing w:val="0"/>
          <w:w w:val="100"/>
          <w:position w:val="0"/>
          <w:shd w:val="clear" w:color="auto" w:fill="auto"/>
          <w:lang w:val="en-US" w:eastAsia="en-US" w:bidi="en-US"/>
        </w:rPr>
        <w:t>dam</w:t>
      </w:r>
      <w:r>
        <w:rPr>
          <w:color w:val="000000"/>
          <w:spacing w:val="0"/>
          <w:w w:val="100"/>
          <w:position w:val="0"/>
          <w:shd w:val="clear" w:color="auto" w:fill="auto"/>
          <w:lang w:val="en-US" w:eastAsia="en-US" w:bidi="en-US"/>
        </w:rPr>
        <w:t xml:space="preserve"> stands for a usual </w:t>
      </w:r>
      <w:r>
        <w:rPr>
          <w:i/>
          <w:iCs/>
          <w:color w:val="000000"/>
          <w:spacing w:val="0"/>
          <w:w w:val="100"/>
          <w:position w:val="0"/>
          <w:shd w:val="clear" w:color="auto" w:fill="auto"/>
          <w:lang w:val="en-US" w:eastAsia="en-US" w:bidi="en-US"/>
        </w:rPr>
        <w:t>dim,</w:t>
      </w:r>
      <w:r>
        <w:rPr>
          <w:color w:val="000000"/>
          <w:spacing w:val="0"/>
          <w:w w:val="100"/>
          <w:position w:val="0"/>
          <w:shd w:val="clear" w:color="auto" w:fill="auto"/>
          <w:lang w:val="en-US" w:eastAsia="en-US" w:bidi="en-US"/>
        </w:rPr>
        <w:t xml:space="preserve"> being changed to a hard </w:t>
      </w:r>
      <w:r>
        <w:rPr>
          <w:i/>
          <w:iCs/>
          <w:color w:val="000000"/>
          <w:spacing w:val="0"/>
          <w:w w:val="100"/>
          <w:position w:val="0"/>
          <w:shd w:val="clear" w:color="auto" w:fill="auto"/>
          <w:lang w:val="en-US" w:eastAsia="en-US" w:bidi="en-US"/>
        </w:rPr>
        <w:t>dam</w:t>
      </w:r>
      <w:r>
        <w:rPr>
          <w:color w:val="000000"/>
          <w:spacing w:val="0"/>
          <w:w w:val="100"/>
          <w:position w:val="0"/>
          <w:shd w:val="clear" w:color="auto" w:fill="auto"/>
          <w:lang w:val="en-US" w:eastAsia="en-US" w:bidi="en-US"/>
        </w:rPr>
        <w:t xml:space="preserve"> under the influence of the hard vowels in </w:t>
      </w:r>
      <w:r>
        <w:rPr>
          <w:i/>
          <w:iCs/>
          <w:color w:val="000000"/>
          <w:spacing w:val="0"/>
          <w:w w:val="100"/>
          <w:position w:val="0"/>
          <w:shd w:val="clear" w:color="auto" w:fill="auto"/>
          <w:lang w:val="en-US" w:eastAsia="en-US" w:bidi="en-US"/>
        </w:rPr>
        <w:t>an-sud.</w:t>
      </w:r>
    </w:p>
    <w:p>
      <w:pPr>
        <w:pStyle w:val="Style2"/>
        <w:keepNext w:val="0"/>
        <w:keepLines w:val="0"/>
        <w:widowControl w:val="0"/>
        <w:shd w:val="clear" w:color="auto" w:fill="auto"/>
        <w:tabs>
          <w:tab w:pos="413" w:val="left"/>
        </w:tabs>
        <w:bidi w:val="0"/>
        <w:spacing w:line="240" w:lineRule="auto"/>
        <w:ind w:left="0" w:firstLine="360"/>
        <w:jc w:val="left"/>
      </w:pPr>
      <w:r>
        <w:rPr>
          <w:color w:val="000000"/>
          <w:spacing w:val="0"/>
          <w:w w:val="100"/>
          <w:position w:val="0"/>
          <w:shd w:val="clear" w:color="auto" w:fill="auto"/>
          <w:lang w:val="en-US" w:eastAsia="en-US" w:bidi="en-US"/>
        </w:rPr>
        <w:t>3.</w:t>
        <w:tab/>
        <w:t xml:space="preserve">Sumerian has only postpositions instead of prepositions, which occur exclusively in Semitic. In this point also Sumerian is in accord with all other agglutinative idioms. Note Sumerian </w:t>
      </w:r>
      <w:r>
        <w:rPr>
          <w:i/>
          <w:iCs/>
          <w:color w:val="000000"/>
          <w:spacing w:val="0"/>
          <w:w w:val="100"/>
          <w:position w:val="0"/>
          <w:shd w:val="clear" w:color="auto" w:fill="auto"/>
          <w:lang w:val="en-US" w:eastAsia="en-US" w:bidi="en-US"/>
        </w:rPr>
        <w:t>e-da, “</w:t>
      </w:r>
      <w:r>
        <w:rPr>
          <w:color w:val="000000"/>
          <w:spacing w:val="0"/>
          <w:w w:val="100"/>
          <w:position w:val="0"/>
          <w:shd w:val="clear" w:color="auto" w:fill="auto"/>
          <w:lang w:val="en-US" w:eastAsia="en-US" w:bidi="en-US"/>
        </w:rPr>
        <w:t xml:space="preserve"> in the house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house,” </w:t>
      </w:r>
      <w:r>
        <w:rPr>
          <w:i/>
          <w:iCs/>
          <w:color w:val="000000"/>
          <w:spacing w:val="0"/>
          <w:w w:val="100"/>
          <w:position w:val="0"/>
          <w:shd w:val="clear" w:color="auto" w:fill="auto"/>
          <w:lang w:val="en-US" w:eastAsia="en-US" w:bidi="en-US"/>
        </w:rPr>
        <w:t>+da, “</w:t>
      </w:r>
      <w:r>
        <w:rPr>
          <w:color w:val="000000"/>
          <w:spacing w:val="0"/>
          <w:w w:val="100"/>
          <w:position w:val="0"/>
          <w:shd w:val="clear" w:color="auto" w:fill="auto"/>
          <w:lang w:val="en-US" w:eastAsia="en-US" w:bidi="en-US"/>
        </w:rPr>
        <w:t xml:space="preserve"> in,” by dissimilation), and compare Turkish </w:t>
      </w:r>
      <w:r>
        <w:rPr>
          <w:i/>
          <w:iCs/>
          <w:color w:val="000000"/>
          <w:spacing w:val="0"/>
          <w:w w:val="100"/>
          <w:position w:val="0"/>
          <w:shd w:val="clear" w:color="auto" w:fill="auto"/>
          <w:lang w:val="en-US" w:eastAsia="en-US" w:bidi="en-US"/>
        </w:rPr>
        <w:t>ev, “</w:t>
      </w:r>
      <w:r>
        <w:rPr>
          <w:color w:val="000000"/>
          <w:spacing w:val="0"/>
          <w:w w:val="100"/>
          <w:position w:val="0"/>
          <w:shd w:val="clear" w:color="auto" w:fill="auto"/>
          <w:lang w:val="en-US" w:eastAsia="en-US" w:bidi="en-US"/>
        </w:rPr>
        <w:t xml:space="preserve"> house,” </w:t>
      </w:r>
      <w:r>
        <w:rPr>
          <w:i/>
          <w:iCs/>
          <w:color w:val="000000"/>
          <w:spacing w:val="0"/>
          <w:w w:val="100"/>
          <w:position w:val="0"/>
          <w:shd w:val="clear" w:color="auto" w:fill="auto"/>
          <w:lang w:val="en-US" w:eastAsia="en-US" w:bidi="en-US"/>
        </w:rPr>
        <w:t>de, “</w:t>
      </w:r>
      <w:r>
        <w:rPr>
          <w:color w:val="000000"/>
          <w:spacing w:val="0"/>
          <w:w w:val="100"/>
          <w:position w:val="0"/>
          <w:shd w:val="clear" w:color="auto" w:fill="auto"/>
          <w:lang w:val="en-US" w:eastAsia="en-US" w:bidi="en-US"/>
        </w:rPr>
        <w:t xml:space="preserve"> in,” and </w:t>
      </w:r>
      <w:r>
        <w:rPr>
          <w:i/>
          <w:iCs/>
          <w:color w:val="000000"/>
          <w:spacing w:val="0"/>
          <w:w w:val="100"/>
          <w:position w:val="0"/>
          <w:shd w:val="clear" w:color="auto" w:fill="auto"/>
          <w:lang w:val="en-US" w:eastAsia="en-US" w:bidi="en-US"/>
        </w:rPr>
        <w:t>evde, “</w:t>
      </w:r>
      <w:r>
        <w:rPr>
          <w:color w:val="000000"/>
          <w:spacing w:val="0"/>
          <w:w w:val="100"/>
          <w:position w:val="0"/>
          <w:shd w:val="clear" w:color="auto" w:fill="auto"/>
          <w:lang w:val="en-US" w:eastAsia="en-US" w:bidi="en-US"/>
        </w:rPr>
        <w:t xml:space="preserve"> in the house.”</w:t>
      </w:r>
    </w:p>
    <w:p>
      <w:pPr>
        <w:pStyle w:val="Style2"/>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4.</w:t>
        <w:tab/>
        <w:t xml:space="preserve">The method of word formation in Sumerian is entirely non-Semitic in character. For example, an indeterminative vowel, </w:t>
      </w:r>
      <w:r>
        <w:rPr>
          <w:i/>
          <w:iCs/>
          <w:color w:val="000000"/>
          <w:spacing w:val="0"/>
          <w:w w:val="100"/>
          <w:position w:val="0"/>
          <w:shd w:val="clear" w:color="auto" w:fill="auto"/>
          <w:lang w:val="en-US" w:eastAsia="en-US" w:bidi="en-US"/>
        </w:rPr>
        <w:t>a, e, 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may be prefixed to any root to form an abstract; thus, from </w:t>
      </w:r>
      <w:r>
        <w:rPr>
          <w:i/>
          <w:iCs/>
          <w:color w:val="000000"/>
          <w:spacing w:val="0"/>
          <w:w w:val="100"/>
          <w:position w:val="0"/>
          <w:shd w:val="clear" w:color="auto" w:fill="auto"/>
          <w:lang w:val="en-US" w:eastAsia="en-US" w:bidi="en-US"/>
        </w:rPr>
        <w:t>me,</w:t>
      </w:r>
      <w:r>
        <w:rPr>
          <w:color w:val="000000"/>
          <w:spacing w:val="0"/>
          <w:w w:val="100"/>
          <w:position w:val="0"/>
          <w:shd w:val="clear" w:color="auto" w:fill="auto"/>
          <w:lang w:val="en-US" w:eastAsia="en-US" w:bidi="en-US"/>
        </w:rPr>
        <w:t xml:space="preserve"> “speak,” we get </w:t>
      </w:r>
      <w:r>
        <w:rPr>
          <w:i/>
          <w:iCs/>
          <w:color w:val="000000"/>
          <w:spacing w:val="0"/>
          <w:w w:val="100"/>
          <w:position w:val="0"/>
          <w:shd w:val="clear" w:color="auto" w:fill="auto"/>
          <w:lang w:val="en-US" w:eastAsia="en-US" w:bidi="en-US"/>
        </w:rPr>
        <w:t>e-me,</w:t>
      </w:r>
      <w:r>
        <w:rPr>
          <w:color w:val="000000"/>
          <w:spacing w:val="0"/>
          <w:w w:val="100"/>
          <w:position w:val="0"/>
          <w:shd w:val="clear" w:color="auto" w:fill="auto"/>
          <w:lang w:val="en-US" w:eastAsia="en-US" w:bidi="en-US"/>
        </w:rPr>
        <w:t xml:space="preserve"> “speech”; from </w:t>
      </w:r>
      <w:r>
        <w:rPr>
          <w:i/>
          <w:iCs/>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to go,” we get </w:t>
      </w:r>
      <w:r>
        <w:rPr>
          <w:i/>
          <w:iCs/>
          <w:color w:val="000000"/>
          <w:spacing w:val="0"/>
          <w:w w:val="100"/>
          <w:position w:val="0"/>
          <w:shd w:val="clear" w:color="auto" w:fill="auto"/>
          <w:lang w:val="en-US" w:eastAsia="en-US" w:bidi="en-US"/>
        </w:rPr>
        <w:t>a-ra, “</w:t>
      </w:r>
      <w:r>
        <w:rPr>
          <w:color w:val="000000"/>
          <w:spacing w:val="0"/>
          <w:w w:val="100"/>
          <w:position w:val="0"/>
          <w:shd w:val="clear" w:color="auto" w:fill="auto"/>
          <w:lang w:val="en-US" w:eastAsia="en-US" w:bidi="en-US"/>
        </w:rPr>
        <w:t xml:space="preserve"> the act of going,” &amp;c. In connexion with the very complicated Sumerian verbal system@@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will be sufficient to note here the practice of infixing the verbal object which is, of course, absolutely alien to Semitic. This phenomenon appears also in Basque and in many North American languages.</w:t>
      </w:r>
    </w:p>
    <w:p>
      <w:pPr>
        <w:pStyle w:val="Style2"/>
        <w:keepNext w:val="0"/>
        <w:keepLines w:val="0"/>
        <w:widowControl w:val="0"/>
        <w:shd w:val="clear" w:color="auto" w:fill="auto"/>
        <w:tabs>
          <w:tab w:pos="455" w:val="left"/>
        </w:tabs>
        <w:bidi w:val="0"/>
        <w:spacing w:line="240" w:lineRule="auto"/>
        <w:ind w:left="0" w:firstLine="360"/>
        <w:jc w:val="left"/>
      </w:pPr>
      <w:r>
        <w:rPr>
          <w:color w:val="000000"/>
          <w:spacing w:val="0"/>
          <w:w w:val="100"/>
          <w:position w:val="0"/>
          <w:shd w:val="clear" w:color="auto" w:fill="auto"/>
          <w:lang w:val="en-US" w:eastAsia="en-US" w:bidi="en-US"/>
        </w:rPr>
        <w:t>5.</w:t>
        <w:tab/>
        <w:t>Sumerian is quite devoid of grammatical gender. Semitic, on the other hand, has grammatical gender as one of its basic principles.</w:t>
      </w:r>
    </w:p>
    <w:p>
      <w:pPr>
        <w:pStyle w:val="Style2"/>
        <w:keepNext w:val="0"/>
        <w:keepLines w:val="0"/>
        <w:widowControl w:val="0"/>
        <w:shd w:val="clear" w:color="auto" w:fill="auto"/>
        <w:tabs>
          <w:tab w:pos="474" w:val="left"/>
        </w:tabs>
        <w:bidi w:val="0"/>
        <w:spacing w:line="240" w:lineRule="auto"/>
        <w:ind w:left="0" w:firstLine="360"/>
        <w:jc w:val="left"/>
      </w:pPr>
      <w:r>
        <w:rPr>
          <w:color w:val="000000"/>
          <w:spacing w:val="0"/>
          <w:w w:val="100"/>
          <w:position w:val="0"/>
          <w:shd w:val="clear" w:color="auto" w:fill="auto"/>
          <w:lang w:val="en-US" w:eastAsia="en-US" w:bidi="en-US"/>
        </w:rPr>
        <w:t>6.</w:t>
        <w:tab/>
        <w:t xml:space="preserve">Furthermore, in a real cryptography or secret language, of which English has several, we find only phenomena based on the language from which the artificial idiom is derived. Thus, in the English “ </w:t>
      </w:r>
      <w:r>
        <w:rPr>
          <w:color w:val="000000"/>
          <w:spacing w:val="0"/>
          <w:w w:val="100"/>
          <w:position w:val="0"/>
          <w:shd w:val="clear" w:color="auto" w:fill="auto"/>
          <w:lang w:val="de-DE" w:eastAsia="de-DE" w:bidi="de-DE"/>
        </w:rPr>
        <w:t xml:space="preserve">Backslang,” </w:t>
      </w:r>
      <w:r>
        <w:rPr>
          <w:color w:val="000000"/>
          <w:spacing w:val="0"/>
          <w:w w:val="100"/>
          <w:position w:val="0"/>
          <w:shd w:val="clear" w:color="auto" w:fill="auto"/>
          <w:lang w:val="en-US" w:eastAsia="en-US" w:bidi="en-US"/>
        </w:rPr>
        <w:t>which is nothing more than ordinary English deliberately inverted, in the similar Arabic jargon used among school children in Syria and in the Spanish thieves’ dialect, the principles of inversion and substitution play the chief part. Also in the curious tinker’s “ Thary ” spoken still on the English roads and lanes, we find merely an often inaccurately inverted Irish Gaelic. But in none of these nor in any other artificial jargons can any grammatical development be found other than that of the language on which they are based.</w:t>
      </w:r>
    </w:p>
    <w:p>
      <w:pPr>
        <w:pStyle w:val="Style2"/>
        <w:keepNext w:val="0"/>
        <w:keepLines w:val="0"/>
        <w:widowControl w:val="0"/>
        <w:shd w:val="clear" w:color="auto" w:fill="auto"/>
        <w:tabs>
          <w:tab w:pos="460" w:val="left"/>
        </w:tabs>
        <w:bidi w:val="0"/>
        <w:spacing w:line="240" w:lineRule="auto"/>
        <w:ind w:left="0" w:firstLine="360"/>
        <w:jc w:val="left"/>
      </w:pPr>
      <w:r>
        <w:rPr>
          <w:color w:val="000000"/>
          <w:spacing w:val="0"/>
          <w:w w:val="100"/>
          <w:position w:val="0"/>
          <w:shd w:val="clear" w:color="auto" w:fill="auto"/>
          <w:lang w:val="en-US" w:eastAsia="en-US" w:bidi="en-US"/>
        </w:rPr>
        <w:t>7.</w:t>
        <w:tab/>
        <w:t>All this is to the point with regard to Sumerian, because these very principles of inversion and substitution have been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cited as being the basis of many of the Sumerian combinations. Deliberate inversion certainly occurs in the Sumerian documents, and it is highly probable that this was a priestly mode of writing, but never of speaking; at any rate, not when the language was in common use. It is not necessary to imagine, however, that these devices originated with the Semitic priesthood. It is quite conceivable that the still earlier Sumerian priesthood invented the method of orthographic inversion, which after all is the very first device which suggests itself to the primitive mind when endeavouring to express itself in a manner out of the ordinary. For example, evident Sumerian inversions are </w:t>
      </w:r>
      <w:r>
        <w:rPr>
          <w:i/>
          <w:iCs/>
          <w:color w:val="000000"/>
          <w:spacing w:val="0"/>
          <w:w w:val="100"/>
          <w:position w:val="0"/>
          <w:shd w:val="clear" w:color="auto" w:fill="auto"/>
          <w:lang w:val="en-US" w:eastAsia="en-US" w:bidi="en-US"/>
        </w:rPr>
        <w:t xml:space="preserve">Cibil, </w:t>
      </w:r>
      <w:r>
        <w:rPr>
          <w:color w:val="000000"/>
          <w:spacing w:val="0"/>
          <w:w w:val="100"/>
          <w:position w:val="0"/>
          <w:shd w:val="clear" w:color="auto" w:fill="auto"/>
          <w:lang w:val="en-US" w:eastAsia="en-US" w:bidi="en-US"/>
        </w:rPr>
        <w:t xml:space="preserve">“ the fire god,” for </w:t>
      </w:r>
      <w:r>
        <w:rPr>
          <w:i/>
          <w:iCs/>
          <w:color w:val="000000"/>
          <w:spacing w:val="0"/>
          <w:w w:val="100"/>
          <w:position w:val="0"/>
          <w:shd w:val="clear" w:color="auto" w:fill="auto"/>
          <w:lang w:val="en-US" w:eastAsia="en-US" w:bidi="en-US"/>
        </w:rPr>
        <w:t>Bil-gi; ushar</w:t>
      </w:r>
      <w:r>
        <w:rPr>
          <w:color w:val="000000"/>
          <w:spacing w:val="0"/>
          <w:w w:val="100"/>
          <w:position w:val="0"/>
          <w:shd w:val="clear" w:color="auto" w:fill="auto"/>
          <w:lang w:val="en-US" w:eastAsia="en-US" w:bidi="en-US"/>
        </w:rPr>
        <w:t xml:space="preserve"> for Sem. </w:t>
      </w:r>
      <w:r>
        <w:rPr>
          <w:i/>
          <w:iCs/>
          <w:color w:val="000000"/>
          <w:spacing w:val="0"/>
          <w:w w:val="100"/>
          <w:position w:val="0"/>
          <w:shd w:val="clear" w:color="auto" w:fill="auto"/>
          <w:lang w:val="en-US" w:eastAsia="en-US" w:bidi="en-US"/>
        </w:rPr>
        <w:t>sharru,</w:t>
      </w:r>
      <w:r>
        <w:rPr>
          <w:color w:val="000000"/>
          <w:spacing w:val="0"/>
          <w:w w:val="100"/>
          <w:position w:val="0"/>
          <w:shd w:val="clear" w:color="auto" w:fill="auto"/>
          <w:lang w:val="en-US" w:eastAsia="en-US" w:bidi="en-US"/>
        </w:rPr>
        <w:t xml:space="preserve"> “ king,” &amp;c.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moreover, highly probable that Sumerian had primitively a system of voice-tones similar to that now extant in Chinese. Thus, we find Sumerian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“dwelling,” “sea”;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“road,” and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grammatical suffix, which words, with many others of a similar character, were perhaps originally uttered with different voice-tones. In Sumerian, the number of conjectural voice-tones never exceeds the possible number eight.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also clear that Sumerian was actually read aloud, probably as a ritual language, until a very late period, because we have a number of pure Sumerian words reproduced in Greek trans</w:t>
        <w:softHyphen/>
        <w:t xml:space="preserve">literation; for example, </w:t>
      </w:r>
      <w:r>
        <w:rPr>
          <w:i/>
          <w:iCs/>
          <w:color w:val="000000"/>
          <w:spacing w:val="0"/>
          <w:w w:val="100"/>
          <w:position w:val="0"/>
          <w:shd w:val="clear" w:color="auto" w:fill="auto"/>
          <w:lang w:val="en-US" w:eastAsia="en-US" w:bidi="en-US"/>
        </w:rPr>
        <w:t>Delephat ≈Dilbat,</w:t>
      </w:r>
      <w:r>
        <w:rPr>
          <w:color w:val="000000"/>
          <w:spacing w:val="0"/>
          <w:w w:val="100"/>
          <w:position w:val="0"/>
          <w:shd w:val="clear" w:color="auto" w:fill="auto"/>
          <w:lang w:val="en-US" w:eastAsia="en-US" w:bidi="en-US"/>
        </w:rPr>
        <w:t xml:space="preserve"> “the Venus-star”; </w:t>
      </w:r>
      <w:r>
        <w:rPr>
          <w:i/>
          <w:iCs/>
          <w:color w:val="000000"/>
          <w:spacing w:val="0"/>
          <w:w w:val="100"/>
          <w:position w:val="0"/>
          <w:shd w:val="clear" w:color="auto" w:fill="auto"/>
          <w:lang w:val="en-US" w:eastAsia="en-US" w:bidi="en-US"/>
        </w:rPr>
        <w:t>Illinois</w:t>
      </w:r>
      <w:r>
        <w:rPr>
          <w:color w:val="000000"/>
          <w:spacing w:val="0"/>
          <w:w w:val="100"/>
          <w:position w:val="0"/>
          <w:shd w:val="clear" w:color="auto" w:fill="auto"/>
          <w:lang w:val="en-US" w:eastAsia="en-US" w:bidi="en-US"/>
        </w:rPr>
        <w:t xml:space="preserve"> = the god </w:t>
      </w:r>
      <w:r>
        <w:rPr>
          <w:i/>
          <w:iCs/>
          <w:color w:val="000000"/>
          <w:spacing w:val="0"/>
          <w:w w:val="100"/>
          <w:position w:val="0"/>
          <w:shd w:val="clear" w:color="auto" w:fill="auto"/>
          <w:lang w:val="en-US" w:eastAsia="en-US" w:bidi="en-US"/>
        </w:rPr>
        <w:t>Illil</w:t>
      </w:r>
      <w:r>
        <w:rPr>
          <w:color w:val="000000"/>
          <w:spacing w:val="0"/>
          <w:w w:val="100"/>
          <w:position w:val="0"/>
          <w:shd w:val="clear" w:color="auto" w:fill="auto"/>
          <w:lang w:val="en-US" w:eastAsia="en-US" w:bidi="en-US"/>
        </w:rPr>
        <w:t xml:space="preserve"> = Bel; </w:t>
      </w:r>
      <w:r>
        <w:rPr>
          <w:i/>
          <w:iCs/>
          <w:color w:val="000000"/>
          <w:spacing w:val="0"/>
          <w:w w:val="100"/>
          <w:position w:val="0"/>
          <w:shd w:val="clear" w:color="auto" w:fill="auto"/>
          <w:lang w:val="en-US" w:eastAsia="en-US" w:bidi="en-US"/>
        </w:rPr>
        <w:t>aidô = itu,</w:t>
      </w:r>
      <w:r>
        <w:rPr>
          <w:color w:val="000000"/>
          <w:spacing w:val="0"/>
          <w:w w:val="100"/>
          <w:position w:val="0"/>
          <w:shd w:val="clear" w:color="auto" w:fill="auto"/>
          <w:lang w:val="en-US" w:eastAsia="en-US" w:bidi="en-US"/>
        </w:rPr>
        <w:t xml:space="preserve"> “month,” &amp;c.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view of the many evidences of the linguistic character of Sumerian as opposed to the one fact that the language had engrafted upon it a great number of evident Semitisms, the opinion of the present writer is that the Sumerian, as we have it, is fundamentally an agglutinative, almost polysynthetic, language, upon which a more or less deliberately constructed </w:t>
      </w:r>
      <w:r>
        <w:rPr>
          <w:i/>
          <w:iCs/>
          <w:color w:val="000000"/>
          <w:spacing w:val="0"/>
          <w:w w:val="100"/>
          <w:position w:val="0"/>
          <w:shd w:val="clear" w:color="auto" w:fill="auto"/>
          <w:lang w:val="en-US" w:eastAsia="en-US" w:bidi="en-US"/>
        </w:rPr>
        <w:t>pot-pourri</w:t>
      </w:r>
      <w:r>
        <w:rPr>
          <w:color w:val="000000"/>
          <w:spacing w:val="0"/>
          <w:w w:val="100"/>
          <w:position w:val="0"/>
          <w:shd w:val="clear" w:color="auto" w:fill="auto"/>
          <w:lang w:val="en-US" w:eastAsia="en-US" w:bidi="en-US"/>
        </w:rPr>
        <w:t xml:space="preserve"> of Semitic inventions was superimposed in the course of many centuries of accretion under Semitic influences. This view stands as a connecting link between the extreme idea of the Halévyan school and the extreme idea of the opposing Sumerist school.</w:t>
      </w:r>
    </w:p>
    <w:p>
      <w:pPr>
        <w:pStyle w:val="Style2"/>
        <w:keepNext w:val="0"/>
        <w:keepLines w:val="0"/>
        <w:widowControl w:val="0"/>
        <w:shd w:val="clear" w:color="auto" w:fill="auto"/>
        <w:tabs>
          <w:tab w:pos="4009" w:val="left"/>
        </w:tabs>
        <w:bidi w:val="0"/>
        <w:spacing w:line="209" w:lineRule="auto"/>
        <w:ind w:left="0" w:firstLine="360"/>
        <w:jc w:val="left"/>
        <w:rPr>
          <w:sz w:val="13"/>
          <w:szCs w:val="13"/>
        </w:rPr>
      </w:pPr>
      <w:r>
        <w:rPr>
          <w:rFonts w:ascii="Arial" w:eastAsia="Arial" w:hAnsi="Arial" w:cs="Arial"/>
          <w:smallCaps/>
          <w:color w:val="000000"/>
          <w:spacing w:val="0"/>
          <w:w w:val="100"/>
          <w:position w:val="0"/>
          <w:sz w:val="13"/>
          <w:szCs w:val="13"/>
          <w:shd w:val="clear" w:color="auto" w:fill="auto"/>
          <w:lang w:val="en-US" w:eastAsia="en-US" w:bidi="en-US"/>
        </w:rPr>
        <w:t>Literature.</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de-DE" w:eastAsia="de-DE" w:bidi="de-DE"/>
        </w:rPr>
        <w:t xml:space="preserve">Radau, </w:t>
      </w:r>
      <w:r>
        <w:rPr>
          <w:i/>
          <w:iCs/>
          <w:color w:val="000000"/>
          <w:spacing w:val="0"/>
          <w:w w:val="100"/>
          <w:position w:val="0"/>
          <w:sz w:val="16"/>
          <w:szCs w:val="16"/>
          <w:shd w:val="clear" w:color="auto" w:fill="auto"/>
          <w:lang w:val="en-US" w:eastAsia="en-US" w:bidi="en-US"/>
        </w:rPr>
        <w:t>Early Babylonian History,</w:t>
      </w:r>
      <w:r>
        <w:rPr>
          <w:color w:val="000000"/>
          <w:spacing w:val="0"/>
          <w:w w:val="100"/>
          <w:position w:val="0"/>
          <w:sz w:val="15"/>
          <w:szCs w:val="15"/>
          <w:shd w:val="clear" w:color="auto" w:fill="auto"/>
          <w:lang w:val="en-US" w:eastAsia="en-US" w:bidi="en-US"/>
        </w:rPr>
        <w:t xml:space="preserve"> Lenormant, </w:t>
      </w:r>
      <w:r>
        <w:rPr>
          <w:i/>
          <w:iCs/>
          <w:color w:val="000000"/>
          <w:spacing w:val="0"/>
          <w:w w:val="100"/>
          <w:position w:val="0"/>
          <w:sz w:val="16"/>
          <w:szCs w:val="16"/>
          <w:shd w:val="clear" w:color="auto" w:fill="auto"/>
          <w:lang w:val="en-US" w:eastAsia="en-US" w:bidi="en-US"/>
        </w:rPr>
        <w:t>Études accadiennes,</w:t>
      </w:r>
      <w:r>
        <w:rPr>
          <w:color w:val="000000"/>
          <w:spacing w:val="0"/>
          <w:w w:val="100"/>
          <w:position w:val="0"/>
          <w:sz w:val="15"/>
          <w:szCs w:val="15"/>
          <w:shd w:val="clear" w:color="auto" w:fill="auto"/>
          <w:lang w:val="en-US" w:eastAsia="en-US" w:bidi="en-US"/>
        </w:rPr>
        <w:t xml:space="preserve"> ii. 3, p. 70; Eberhardt Schrader, </w:t>
      </w:r>
      <w:r>
        <w:rPr>
          <w:i/>
          <w:iCs/>
          <w:color w:val="000000"/>
          <w:spacing w:val="0"/>
          <w:w w:val="100"/>
          <w:position w:val="0"/>
          <w:sz w:val="16"/>
          <w:szCs w:val="16"/>
          <w:shd w:val="clear" w:color="auto" w:fill="auto"/>
          <w:lang w:val="de-DE" w:eastAsia="de-DE" w:bidi="de-DE"/>
        </w:rPr>
        <w:t xml:space="preserve">Keilinschriften </w:t>
      </w:r>
      <w:r>
        <w:rPr>
          <w:i/>
          <w:iCs/>
          <w:color w:val="000000"/>
          <w:spacing w:val="0"/>
          <w:w w:val="100"/>
          <w:position w:val="0"/>
          <w:sz w:val="16"/>
          <w:szCs w:val="16"/>
          <w:shd w:val="clear" w:color="auto" w:fill="auto"/>
          <w:lang w:val="en-US" w:eastAsia="en-US" w:bidi="en-US"/>
        </w:rPr>
        <w:t xml:space="preserve">u. </w:t>
      </w:r>
      <w:r>
        <w:rPr>
          <w:i/>
          <w:iCs/>
          <w:color w:val="000000"/>
          <w:spacing w:val="0"/>
          <w:w w:val="100"/>
          <w:position w:val="0"/>
          <w:sz w:val="16"/>
          <w:szCs w:val="16"/>
          <w:shd w:val="clear" w:color="auto" w:fill="auto"/>
          <w:lang w:val="de-DE" w:eastAsia="de-DE" w:bidi="de-DE"/>
        </w:rPr>
        <w:t xml:space="preserve">das Alte </w:t>
      </w:r>
      <w:r>
        <w:rPr>
          <w:i/>
          <w:iCs/>
          <w:color w:val="000000"/>
          <w:spacing w:val="0"/>
          <w:w w:val="100"/>
          <w:position w:val="0"/>
          <w:sz w:val="16"/>
          <w:szCs w:val="16"/>
          <w:shd w:val="clear" w:color="auto" w:fill="auto"/>
          <w:lang w:val="en-US" w:eastAsia="en-US" w:bidi="en-US"/>
        </w:rPr>
        <w:t>Testament,</w:t>
      </w:r>
      <w:r>
        <w:rPr>
          <w:color w:val="000000"/>
          <w:spacing w:val="0"/>
          <w:w w:val="100"/>
          <w:position w:val="0"/>
          <w:sz w:val="15"/>
          <w:szCs w:val="15"/>
          <w:shd w:val="clear" w:color="auto" w:fill="auto"/>
          <w:lang w:val="en-US" w:eastAsia="en-US" w:bidi="en-US"/>
        </w:rPr>
        <w:t xml:space="preserve"> ii. 118 sqq., </w:t>
      </w:r>
      <w:r>
        <w:rPr>
          <w:i/>
          <w:iCs/>
          <w:color w:val="000000"/>
          <w:spacing w:val="0"/>
          <w:w w:val="100"/>
          <w:position w:val="0"/>
          <w:sz w:val="16"/>
          <w:szCs w:val="16"/>
          <w:shd w:val="clear" w:color="auto" w:fill="auto"/>
          <w:lang w:val="de-DE" w:eastAsia="de-DE" w:bidi="de-DE"/>
        </w:rPr>
        <w:t xml:space="preserve">Keilinschriften </w:t>
      </w:r>
      <w:r>
        <w:rPr>
          <w:i/>
          <w:iCs/>
          <w:color w:val="000000"/>
          <w:spacing w:val="0"/>
          <w:w w:val="100"/>
          <w:position w:val="0"/>
          <w:sz w:val="16"/>
          <w:szCs w:val="16"/>
          <w:shd w:val="clear" w:color="auto" w:fill="auto"/>
          <w:lang w:val="en-US" w:eastAsia="en-US" w:bidi="en-US"/>
        </w:rPr>
        <w:t xml:space="preserve">u. </w:t>
      </w:r>
      <w:r>
        <w:rPr>
          <w:i/>
          <w:iCs/>
          <w:color w:val="000000"/>
          <w:spacing w:val="0"/>
          <w:w w:val="100"/>
          <w:position w:val="0"/>
          <w:sz w:val="16"/>
          <w:szCs w:val="16"/>
          <w:shd w:val="clear" w:color="auto" w:fill="auto"/>
          <w:lang w:val="de-DE" w:eastAsia="de-DE" w:bidi="de-DE"/>
        </w:rPr>
        <w:t>Geschichts</w:t>
        <w:softHyphen/>
        <w:t>forschung,</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pp. 290, 533; Weissbach, </w:t>
      </w:r>
      <w:r>
        <w:rPr>
          <w:i/>
          <w:iCs/>
          <w:color w:val="000000"/>
          <w:spacing w:val="0"/>
          <w:w w:val="100"/>
          <w:position w:val="0"/>
          <w:sz w:val="16"/>
          <w:szCs w:val="16"/>
          <w:shd w:val="clear" w:color="auto" w:fill="auto"/>
          <w:lang w:val="de-DE" w:eastAsia="de-DE" w:bidi="de-DE"/>
        </w:rPr>
        <w:t>Zur Lösung der sumerischen Trage·,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fr-FR" w:eastAsia="fr-FR" w:bidi="fr-FR"/>
        </w:rPr>
        <w:t xml:space="preserve">T. </w:t>
      </w:r>
      <w:r>
        <w:rPr>
          <w:color w:val="000000"/>
          <w:spacing w:val="0"/>
          <w:w w:val="100"/>
          <w:position w:val="0"/>
          <w:sz w:val="15"/>
          <w:szCs w:val="15"/>
          <w:shd w:val="clear" w:color="auto" w:fill="auto"/>
          <w:lang w:val="de-DE" w:eastAsia="de-DE" w:bidi="de-DE"/>
        </w:rPr>
        <w:t xml:space="preserve">G. </w:t>
      </w:r>
      <w:r>
        <w:rPr>
          <w:color w:val="000000"/>
          <w:spacing w:val="0"/>
          <w:w w:val="100"/>
          <w:position w:val="0"/>
          <w:sz w:val="15"/>
          <w:szCs w:val="15"/>
          <w:shd w:val="clear" w:color="auto" w:fill="auto"/>
          <w:lang w:val="en-US" w:eastAsia="en-US" w:bidi="en-US"/>
        </w:rPr>
        <w:t xml:space="preserve">Pinches, </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Language of the Early Inhabitants of Mesopotamia,” in </w:t>
      </w:r>
      <w:r>
        <w:rPr>
          <w:i/>
          <w:iCs/>
          <w:color w:val="000000"/>
          <w:spacing w:val="0"/>
          <w:w w:val="100"/>
          <w:position w:val="0"/>
          <w:sz w:val="16"/>
          <w:szCs w:val="16"/>
          <w:shd w:val="clear" w:color="auto" w:fill="auto"/>
          <w:lang w:val="en-US" w:eastAsia="en-US" w:bidi="en-US"/>
        </w:rPr>
        <w:t>Journ. Roy. Asiatic Soc.</w:t>
      </w:r>
      <w:r>
        <w:rPr>
          <w:color w:val="000000"/>
          <w:spacing w:val="0"/>
          <w:w w:val="100"/>
          <w:position w:val="0"/>
          <w:sz w:val="15"/>
          <w:szCs w:val="15"/>
          <w:shd w:val="clear" w:color="auto" w:fill="auto"/>
          <w:lang w:val="en-US" w:eastAsia="en-US" w:bidi="en-US"/>
        </w:rPr>
        <w:t xml:space="preserve"> (1884), pp. 301 sqq.; “ Sumerian or Cryptography,” ibid. (1900), pp. 75 sqq., 343, 344, 551, 552; article “ Shinar ” in Hastings’s </w:t>
      </w:r>
      <w:r>
        <w:rPr>
          <w:i/>
          <w:iCs/>
          <w:color w:val="000000"/>
          <w:spacing w:val="0"/>
          <w:w w:val="100"/>
          <w:position w:val="0"/>
          <w:sz w:val="16"/>
          <w:szCs w:val="16"/>
          <w:shd w:val="clear" w:color="auto" w:fill="auto"/>
          <w:lang w:val="en-US" w:eastAsia="en-US" w:bidi="en-US"/>
        </w:rPr>
        <w:t>Did, Bible,</w:t>
      </w:r>
      <w:r>
        <w:rPr>
          <w:color w:val="000000"/>
          <w:spacing w:val="0"/>
          <w:w w:val="100"/>
          <w:position w:val="0"/>
          <w:sz w:val="15"/>
          <w:szCs w:val="15"/>
          <w:shd w:val="clear" w:color="auto" w:fill="auto"/>
          <w:lang w:val="en-US" w:eastAsia="en-US" w:bidi="en-US"/>
        </w:rPr>
        <w:t xml:space="preserve"> iv. 503-505; llalévy, </w:t>
      </w:r>
      <w:r>
        <w:rPr>
          <w:i/>
          <w:iCs/>
          <w:color w:val="000000"/>
          <w:spacing w:val="0"/>
          <w:w w:val="100"/>
          <w:position w:val="0"/>
          <w:sz w:val="16"/>
          <w:szCs w:val="16"/>
          <w:shd w:val="clear" w:color="auto" w:fill="auto"/>
          <w:lang w:val="en-US" w:eastAsia="en-US" w:bidi="en-US"/>
        </w:rPr>
        <w:t xml:space="preserve">Journal </w:t>
      </w:r>
      <w:r>
        <w:rPr>
          <w:i/>
          <w:iCs/>
          <w:color w:val="000000"/>
          <w:spacing w:val="0"/>
          <w:w w:val="100"/>
          <w:position w:val="0"/>
          <w:sz w:val="16"/>
          <w:szCs w:val="16"/>
          <w:shd w:val="clear" w:color="auto" w:fill="auto"/>
          <w:lang w:val="fr-FR" w:eastAsia="fr-FR" w:bidi="fr-FR"/>
        </w:rPr>
        <w:t>asiatique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(1874), 3rd series, vol. iv. pp. 461 sqq.; </w:t>
      </w:r>
      <w:r>
        <w:rPr>
          <w:i/>
          <w:iCs/>
          <w:color w:val="000000"/>
          <w:spacing w:val="0"/>
          <w:w w:val="100"/>
          <w:position w:val="0"/>
          <w:sz w:val="16"/>
          <w:szCs w:val="16"/>
          <w:shd w:val="clear" w:color="auto" w:fill="auto"/>
          <w:lang w:val="fr-FR" w:eastAsia="fr-FR" w:bidi="fr-FR"/>
        </w:rPr>
        <w:t>Comptes rendus,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3rd senes, vol. iv. p. 477; 3rd series, vol. iv. pp. 128, 130; </w:t>
      </w:r>
      <w:r>
        <w:rPr>
          <w:i/>
          <w:iCs/>
          <w:color w:val="000000"/>
          <w:spacing w:val="0"/>
          <w:w w:val="100"/>
          <w:position w:val="0"/>
          <w:sz w:val="16"/>
          <w:szCs w:val="16"/>
          <w:shd w:val="clear" w:color="auto" w:fill="auto"/>
          <w:lang w:val="en-US" w:eastAsia="en-US" w:bidi="en-US"/>
        </w:rPr>
        <w:t xml:space="preserve">Journal </w:t>
      </w:r>
      <w:r>
        <w:rPr>
          <w:i/>
          <w:iCs/>
          <w:color w:val="000000"/>
          <w:spacing w:val="0"/>
          <w:w w:val="100"/>
          <w:position w:val="0"/>
          <w:sz w:val="16"/>
          <w:szCs w:val="16"/>
          <w:shd w:val="clear" w:color="auto" w:fill="auto"/>
          <w:lang w:val="fr-FR" w:eastAsia="fr-FR" w:bidi="fr-FR"/>
        </w:rPr>
        <w:t>asiatique,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7th series, vol. viii. pp. 201 sqq.; </w:t>
      </w:r>
      <w:r>
        <w:rPr>
          <w:i/>
          <w:iCs/>
          <w:color w:val="000000"/>
          <w:spacing w:val="0"/>
          <w:w w:val="100"/>
          <w:position w:val="0"/>
          <w:sz w:val="16"/>
          <w:szCs w:val="16"/>
          <w:shd w:val="clear" w:color="auto" w:fill="auto"/>
          <w:lang w:val="fr-FR" w:eastAsia="fr-FR" w:bidi="fr-FR"/>
        </w:rPr>
        <w:t xml:space="preserve">Recherches </w:t>
      </w:r>
      <w:r>
        <w:rPr>
          <w:i/>
          <w:iCs/>
          <w:color w:val="000000"/>
          <w:spacing w:val="0"/>
          <w:w w:val="100"/>
          <w:position w:val="0"/>
          <w:sz w:val="16"/>
          <w:szCs w:val="16"/>
          <w:shd w:val="clear" w:color="auto" w:fill="auto"/>
          <w:lang w:val="en-US" w:eastAsia="en-US" w:bidi="en-US"/>
        </w:rPr>
        <w:t xml:space="preserve">critiques </w:t>
      </w:r>
      <w:r>
        <w:rPr>
          <w:i/>
          <w:iCs/>
          <w:color w:val="000000"/>
          <w:spacing w:val="0"/>
          <w:w w:val="100"/>
          <w:position w:val="0"/>
          <w:sz w:val="16"/>
          <w:szCs w:val="16"/>
          <w:shd w:val="clear" w:color="auto" w:fill="auto"/>
          <w:lang w:val="fr-FR" w:eastAsia="fr-FR" w:bidi="fr-FR"/>
        </w:rPr>
        <w:t>sur l'origine de la civilisation babylonienne</w:t>
      </w:r>
      <w:r>
        <w:rPr>
          <w:color w:val="000000"/>
          <w:spacing w:val="0"/>
          <w:w w:val="100"/>
          <w:position w:val="0"/>
          <w:sz w:val="15"/>
          <w:szCs w:val="15"/>
          <w:shd w:val="clear" w:color="auto" w:fill="auto"/>
          <w:lang w:val="fr-FR" w:eastAsia="fr-FR" w:bidi="fr-FR"/>
        </w:rPr>
        <w:t xml:space="preserve"> (Paris, 1876); J. D. Prince, </w:t>
      </w:r>
      <w:r>
        <w:rPr>
          <w:i/>
          <w:iCs/>
          <w:color w:val="000000"/>
          <w:spacing w:val="0"/>
          <w:w w:val="100"/>
          <w:position w:val="0"/>
          <w:sz w:val="16"/>
          <w:szCs w:val="16"/>
          <w:shd w:val="clear" w:color="auto" w:fill="auto"/>
          <w:lang w:val="fr-FR" w:eastAsia="fr-FR" w:bidi="fr-FR"/>
        </w:rPr>
        <w:t xml:space="preserve">Journal </w:t>
      </w:r>
      <w:r>
        <w:rPr>
          <w:i/>
          <w:iCs/>
          <w:color w:val="000000"/>
          <w:spacing w:val="0"/>
          <w:w w:val="100"/>
          <w:position w:val="0"/>
          <w:sz w:val="16"/>
          <w:szCs w:val="16"/>
          <w:shd w:val="clear" w:color="auto" w:fill="auto"/>
          <w:lang w:val="en-US" w:eastAsia="en-US" w:bidi="en-US"/>
        </w:rPr>
        <w:t xml:space="preserve">of the American </w:t>
      </w:r>
      <w:r>
        <w:rPr>
          <w:i/>
          <w:iCs/>
          <w:color w:val="000000"/>
          <w:spacing w:val="0"/>
          <w:w w:val="100"/>
          <w:position w:val="0"/>
          <w:sz w:val="16"/>
          <w:szCs w:val="16"/>
          <w:shd w:val="clear" w:color="auto" w:fill="auto"/>
          <w:lang w:val="fr-FR" w:eastAsia="fr-FR" w:bidi="fr-FR"/>
        </w:rPr>
        <w:t>Oriental Society,</w:t>
      </w:r>
      <w:r>
        <w:rPr>
          <w:color w:val="000000"/>
          <w:spacing w:val="0"/>
          <w:w w:val="100"/>
          <w:position w:val="0"/>
          <w:sz w:val="15"/>
          <w:szCs w:val="15"/>
          <w:shd w:val="clear" w:color="auto" w:fill="auto"/>
          <w:lang w:val="fr-FR" w:eastAsia="fr-FR" w:bidi="fr-FR"/>
        </w:rPr>
        <w:t xml:space="preserve"> xxv. </w:t>
      </w:r>
      <w:r>
        <w:rPr>
          <w:color w:val="000000"/>
          <w:spacing w:val="0"/>
          <w:w w:val="100"/>
          <w:position w:val="0"/>
          <w:sz w:val="15"/>
          <w:szCs w:val="15"/>
          <w:shd w:val="clear" w:color="auto" w:fill="auto"/>
          <w:lang w:val="en-US" w:eastAsia="en-US" w:bidi="en-US"/>
        </w:rPr>
        <w:t xml:space="preserve">49- </w:t>
      </w:r>
      <w:r>
        <w:rPr>
          <w:color w:val="000000"/>
          <w:spacing w:val="0"/>
          <w:w w:val="100"/>
          <w:position w:val="0"/>
          <w:sz w:val="15"/>
          <w:szCs w:val="15"/>
          <w:shd w:val="clear" w:color="auto" w:fill="auto"/>
          <w:lang w:val="fr-FR" w:eastAsia="fr-FR" w:bidi="fr-FR"/>
        </w:rPr>
        <w:t xml:space="preserve">67; </w:t>
      </w:r>
      <w:r>
        <w:rPr>
          <w:i/>
          <w:iCs/>
          <w:color w:val="000000"/>
          <w:spacing w:val="0"/>
          <w:w w:val="100"/>
          <w:position w:val="0"/>
          <w:sz w:val="16"/>
          <w:szCs w:val="16"/>
          <w:shd w:val="clear" w:color="auto" w:fill="auto"/>
          <w:lang w:val="en-US" w:eastAsia="en-US" w:bidi="en-US"/>
        </w:rPr>
        <w:t xml:space="preserve">American </w:t>
      </w:r>
      <w:r>
        <w:rPr>
          <w:i/>
          <w:iCs/>
          <w:color w:val="000000"/>
          <w:spacing w:val="0"/>
          <w:w w:val="100"/>
          <w:position w:val="0"/>
          <w:sz w:val="16"/>
          <w:szCs w:val="16"/>
          <w:shd w:val="clear" w:color="auto" w:fill="auto"/>
          <w:lang w:val="fr-FR" w:eastAsia="fr-FR" w:bidi="fr-FR"/>
        </w:rPr>
        <w:t xml:space="preserve">Journal </w:t>
      </w:r>
      <w:r>
        <w:rPr>
          <w:i/>
          <w:iCs/>
          <w:color w:val="000000"/>
          <w:spacing w:val="0"/>
          <w:w w:val="100"/>
          <w:position w:val="0"/>
          <w:sz w:val="16"/>
          <w:szCs w:val="16"/>
          <w:shd w:val="clear" w:color="auto" w:fill="auto"/>
          <w:lang w:val="en-US" w:eastAsia="en-US" w:bidi="en-US"/>
        </w:rPr>
        <w:t>of Semitic Languages,</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xix. </w:t>
      </w:r>
      <w:r>
        <w:rPr>
          <w:color w:val="000000"/>
          <w:spacing w:val="0"/>
          <w:w w:val="100"/>
          <w:position w:val="0"/>
          <w:sz w:val="15"/>
          <w:szCs w:val="15"/>
          <w:shd w:val="clear" w:color="auto" w:fill="auto"/>
          <w:lang w:val="en-US" w:eastAsia="en-US" w:bidi="en-US"/>
        </w:rPr>
        <w:t xml:space="preserve">203 </w:t>
      </w:r>
      <w:r>
        <w:rPr>
          <w:color w:val="000000"/>
          <w:spacing w:val="0"/>
          <w:w w:val="100"/>
          <w:position w:val="0"/>
          <w:sz w:val="15"/>
          <w:szCs w:val="15"/>
          <w:shd w:val="clear" w:color="auto" w:fill="auto"/>
          <w:lang w:val="fr-FR" w:eastAsia="fr-FR" w:bidi="fr-FR"/>
        </w:rPr>
        <w:t xml:space="preserve">sqq.; </w:t>
      </w:r>
      <w:r>
        <w:rPr>
          <w:i/>
          <w:iCs/>
          <w:color w:val="000000"/>
          <w:spacing w:val="0"/>
          <w:w w:val="100"/>
          <w:position w:val="0"/>
          <w:sz w:val="16"/>
          <w:szCs w:val="16"/>
          <w:shd w:val="clear" w:color="auto" w:fill="auto"/>
          <w:lang w:val="en-US" w:eastAsia="en-US" w:bidi="en-US"/>
        </w:rPr>
        <w:t xml:space="preserve">Materials for </w:t>
      </w:r>
      <w:r>
        <w:rPr>
          <w:i/>
          <w:iCs/>
          <w:color w:val="000000"/>
          <w:spacing w:val="0"/>
          <w:w w:val="100"/>
          <w:position w:val="0"/>
          <w:sz w:val="16"/>
          <w:szCs w:val="16"/>
          <w:shd w:val="clear" w:color="auto" w:fill="auto"/>
          <w:lang w:val="fr-FR" w:eastAsia="fr-FR" w:bidi="fr-FR"/>
        </w:rPr>
        <w:t xml:space="preserve">a </w:t>
      </w:r>
      <w:r>
        <w:rPr>
          <w:i/>
          <w:iCs/>
          <w:color w:val="000000"/>
          <w:spacing w:val="0"/>
          <w:w w:val="100"/>
          <w:position w:val="0"/>
          <w:sz w:val="16"/>
          <w:szCs w:val="16"/>
          <w:shd w:val="clear" w:color="auto" w:fill="auto"/>
          <w:lang w:val="en-US" w:eastAsia="en-US" w:bidi="en-US"/>
        </w:rPr>
        <w:t>Sumerian Lexicon,</w:t>
      </w:r>
      <w:r>
        <w:rPr>
          <w:color w:val="000000"/>
          <w:spacing w:val="0"/>
          <w:w w:val="100"/>
          <w:position w:val="0"/>
          <w:sz w:val="15"/>
          <w:szCs w:val="15"/>
          <w:shd w:val="clear" w:color="auto" w:fill="auto"/>
          <w:lang w:val="en-US" w:eastAsia="en-US" w:bidi="en-US"/>
        </w:rPr>
        <w:t xml:space="preserve"> with grammatic introduction (Leipzig, 1905-1907). Compare also the material cited in the foot</w:t>
        <w:softHyphen/>
        <w:t xml:space="preserve">notes above, and note the correspondence between Brünnow and Halévy in the </w:t>
      </w:r>
      <w:r>
        <w:rPr>
          <w:i/>
          <w:iCs/>
          <w:color w:val="000000"/>
          <w:spacing w:val="0"/>
          <w:w w:val="100"/>
          <w:position w:val="0"/>
          <w:sz w:val="16"/>
          <w:szCs w:val="16"/>
          <w:shd w:val="clear" w:color="auto" w:fill="auto"/>
          <w:lang w:val="en-US" w:eastAsia="en-US" w:bidi="en-US"/>
        </w:rPr>
        <w:t xml:space="preserve">Revue </w:t>
      </w:r>
      <w:r>
        <w:rPr>
          <w:i/>
          <w:iCs/>
          <w:color w:val="000000"/>
          <w:spacing w:val="0"/>
          <w:w w:val="100"/>
          <w:position w:val="0"/>
          <w:sz w:val="16"/>
          <w:szCs w:val="16"/>
          <w:shd w:val="clear" w:color="auto" w:fill="auto"/>
          <w:lang w:val="fr-FR" w:eastAsia="fr-FR" w:bidi="fr-FR"/>
        </w:rPr>
        <w:t>sémitique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(1906).</w:t>
        <w:tab/>
        <w:t xml:space="preserve">(J. D. </w:t>
      </w:r>
      <w:r>
        <w:rPr>
          <w:rFonts w:ascii="Arial" w:eastAsia="Arial" w:hAnsi="Arial" w:cs="Arial"/>
          <w:smallCaps/>
          <w:color w:val="000000"/>
          <w:spacing w:val="0"/>
          <w:w w:val="100"/>
          <w:position w:val="0"/>
          <w:sz w:val="13"/>
          <w:szCs w:val="13"/>
          <w:shd w:val="clear" w:color="auto" w:fill="auto"/>
          <w:lang w:val="en-US" w:eastAsia="en-US" w:bidi="en-US"/>
        </w:rPr>
        <w:t>Pr.)</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SUMMANUS, </w:t>
      </w:r>
      <w:r>
        <w:rPr>
          <w:color w:val="000000"/>
          <w:spacing w:val="0"/>
          <w:w w:val="100"/>
          <w:position w:val="0"/>
          <w:shd w:val="clear" w:color="auto" w:fill="auto"/>
          <w:lang w:val="en-US" w:eastAsia="en-US" w:bidi="en-US"/>
        </w:rPr>
        <w:t xml:space="preserve">according to some, an old Sabine or Etruscan deity; the name, however, is Latin, formed by assimilation from </w:t>
      </w:r>
      <w:r>
        <w:rPr>
          <w:i/>
          <w:iCs/>
          <w:color w:val="000000"/>
          <w:spacing w:val="0"/>
          <w:w w:val="100"/>
          <w:position w:val="0"/>
          <w:shd w:val="clear" w:color="auto" w:fill="auto"/>
          <w:lang w:val="en-US" w:eastAsia="en-US" w:bidi="en-US"/>
        </w:rPr>
        <w:t>sub-mānus</w:t>
      </w:r>
      <w:r>
        <w:rPr>
          <w:color w:val="000000"/>
          <w:spacing w:val="0"/>
          <w:w w:val="100"/>
          <w:position w:val="0"/>
          <w:shd w:val="clear" w:color="auto" w:fill="auto"/>
          <w:lang w:val="en-US" w:eastAsia="en-US" w:bidi="en-US"/>
        </w:rPr>
        <w:t xml:space="preserve"> (cf. </w:t>
      </w:r>
      <w:r>
        <w:rPr>
          <w:i/>
          <w:iCs/>
          <w:color w:val="000000"/>
          <w:spacing w:val="0"/>
          <w:w w:val="100"/>
          <w:position w:val="0"/>
          <w:shd w:val="clear" w:color="auto" w:fill="auto"/>
          <w:lang w:val="en-US" w:eastAsia="en-US" w:bidi="en-US"/>
        </w:rPr>
        <w:t>mane, Matuta),</w:t>
      </w:r>
      <w:r>
        <w:rPr>
          <w:color w:val="000000"/>
          <w:spacing w:val="0"/>
          <w:w w:val="100"/>
          <w:position w:val="0"/>
          <w:shd w:val="clear" w:color="auto" w:fill="auto"/>
          <w:lang w:val="en-US" w:eastAsia="en-US" w:bidi="en-US"/>
        </w:rPr>
        <w:t xml:space="preserve"> signifying the god of the time “ before the morning.” His sphere of influence was the nocturnal heavens, thunderstorms at night being attributed to him, those by day to Jupiter. Summanus had a temple at Rome near the Circus Maximus, dedicated at the time of the invasion of Italy by Pyrrhus, king of Epirus (278), when a terra</w:t>
        <w:softHyphen/>
        <w:t xml:space="preserve">cotta image of the god (or of Jupiter himself) on the pediment of the </w:t>
      </w:r>
      <w:r>
        <w:rPr>
          <w:color w:val="000000"/>
          <w:spacing w:val="0"/>
          <w:w w:val="100"/>
          <w:position w:val="0"/>
          <w:shd w:val="clear" w:color="auto" w:fill="auto"/>
          <w:lang w:val="fr-FR" w:eastAsia="fr-FR" w:bidi="fr-FR"/>
        </w:rPr>
        <w:t xml:space="preserve">Capitoline </w:t>
      </w:r>
      <w:r>
        <w:rPr>
          <w:color w:val="000000"/>
          <w:spacing w:val="0"/>
          <w:w w:val="100"/>
          <w:position w:val="0"/>
          <w:shd w:val="clear" w:color="auto" w:fill="auto"/>
          <w:lang w:val="en-US" w:eastAsia="en-US" w:bidi="en-US"/>
        </w:rPr>
        <w:t xml:space="preserve">temple was struck by lightning and hurled into the river Tiber. Here sacrifice was offered every year to Summanus on the 20th of June, together with cakes called </w:t>
      </w:r>
      <w:r>
        <w:rPr>
          <w:i/>
          <w:iCs/>
          <w:color w:val="000000"/>
          <w:spacing w:val="0"/>
          <w:w w:val="100"/>
          <w:position w:val="0"/>
          <w:shd w:val="clear" w:color="auto" w:fill="auto"/>
          <w:lang w:val="en-US" w:eastAsia="en-US" w:bidi="en-US"/>
        </w:rPr>
        <w:t>summanalia</w:t>
      </w:r>
      <w:r>
        <w:rPr>
          <w:color w:val="000000"/>
          <w:spacing w:val="0"/>
          <w:w w:val="100"/>
          <w:position w:val="0"/>
          <w:shd w:val="clear" w:color="auto" w:fill="auto"/>
          <w:lang w:val="en-US" w:eastAsia="en-US" w:bidi="en-US"/>
        </w:rPr>
        <w:t xml:space="preserve"> baked in the form of a wheel, supposed to be sym</w:t>
        <w:softHyphen/>
        <w:t xml:space="preserve">bolical of the car of the god of the thunderbolt. In Plautus </w:t>
      </w:r>
      <w:r>
        <w:rPr>
          <w:i/>
          <w:iCs/>
          <w:color w:val="000000"/>
          <w:spacing w:val="0"/>
          <w:w w:val="100"/>
          <w:position w:val="0"/>
          <w:shd w:val="clear" w:color="auto" w:fill="auto"/>
          <w:lang w:val="en-US" w:eastAsia="en-US" w:bidi="en-US"/>
        </w:rPr>
        <w:t>(Bacchides</w:t>
      </w:r>
      <w:r>
        <w:rPr>
          <w:color w:val="000000"/>
          <w:spacing w:val="0"/>
          <w:w w:val="100"/>
          <w:position w:val="0"/>
          <w:shd w:val="clear" w:color="auto" w:fill="auto"/>
          <w:lang w:val="en-US" w:eastAsia="en-US" w:bidi="en-US"/>
        </w:rPr>
        <w:t xml:space="preserve"> iv. 8, 54) Summanus and the verb </w:t>
      </w:r>
      <w:r>
        <w:rPr>
          <w:i/>
          <w:iCs/>
          <w:color w:val="000000"/>
          <w:spacing w:val="0"/>
          <w:w w:val="100"/>
          <w:position w:val="0"/>
          <w:shd w:val="clear" w:color="auto" w:fill="auto"/>
          <w:lang w:val="en-US" w:eastAsia="en-US" w:bidi="en-US"/>
        </w:rPr>
        <w:t xml:space="preserve">summanare </w:t>
      </w:r>
      <w:r>
        <w:rPr>
          <w:color w:val="000000"/>
          <w:spacing w:val="0"/>
          <w:w w:val="100"/>
          <w:position w:val="0"/>
          <w:shd w:val="clear" w:color="auto" w:fill="auto"/>
          <w:lang w:val="en-US" w:eastAsia="en-US" w:bidi="en-US"/>
        </w:rPr>
        <w:t>are used for the god of thieves and the act of stealing, with obvious reference to Summanus as a god of night, a time favourable to thieves and their business. The later explanation that Summanus is a contraction from Summus Manium (the greatest of the Manes), and that he is to be identified with Dis Pater, is now generally rejected.</w:t>
      </w:r>
    </w:p>
    <w:p>
      <w:pPr>
        <w:pStyle w:val="Style2"/>
        <w:keepNext w:val="0"/>
        <w:keepLines w:val="0"/>
        <w:widowControl w:val="0"/>
        <w:shd w:val="clear" w:color="auto" w:fill="auto"/>
        <w:bidi w:val="0"/>
        <w:spacing w:line="26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Augustine, </w:t>
      </w:r>
      <w:r>
        <w:rPr>
          <w:i/>
          <w:iCs/>
          <w:color w:val="000000"/>
          <w:spacing w:val="0"/>
          <w:w w:val="100"/>
          <w:position w:val="0"/>
          <w:sz w:val="16"/>
          <w:szCs w:val="16"/>
          <w:shd w:val="clear" w:color="auto" w:fill="auto"/>
          <w:lang w:val="en-US" w:eastAsia="en-US" w:bidi="en-US"/>
        </w:rPr>
        <w:t>De civitate dei,</w:t>
      </w:r>
      <w:r>
        <w:rPr>
          <w:color w:val="000000"/>
          <w:spacing w:val="0"/>
          <w:w w:val="100"/>
          <w:position w:val="0"/>
          <w:sz w:val="15"/>
          <w:szCs w:val="15"/>
          <w:shd w:val="clear" w:color="auto" w:fill="auto"/>
          <w:lang w:val="en-US" w:eastAsia="en-US" w:bidi="en-US"/>
        </w:rPr>
        <w:t xml:space="preserve"> iv. 23; Ovid, </w:t>
      </w:r>
      <w:r>
        <w:rPr>
          <w:i/>
          <w:iCs/>
          <w:color w:val="000000"/>
          <w:spacing w:val="0"/>
          <w:w w:val="100"/>
          <w:position w:val="0"/>
          <w:sz w:val="16"/>
          <w:szCs w:val="16"/>
          <w:shd w:val="clear" w:color="auto" w:fill="auto"/>
          <w:lang w:val="en-US" w:eastAsia="en-US" w:bidi="en-US"/>
        </w:rPr>
        <w:t>Fasti,</w:t>
      </w:r>
      <w:r>
        <w:rPr>
          <w:color w:val="000000"/>
          <w:spacing w:val="0"/>
          <w:w w:val="100"/>
          <w:position w:val="0"/>
          <w:sz w:val="15"/>
          <w:szCs w:val="15"/>
          <w:shd w:val="clear" w:color="auto" w:fill="auto"/>
          <w:lang w:val="en-US" w:eastAsia="en-US" w:bidi="en-US"/>
        </w:rPr>
        <w:t xml:space="preserve"> vi. 729; Festus,</w:t>
      </w:r>
    </w:p>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Prince, </w:t>
      </w:r>
      <w:r>
        <w:rPr>
          <w:i/>
          <w:iCs/>
          <w:color w:val="000000"/>
          <w:spacing w:val="0"/>
          <w:w w:val="100"/>
          <w:position w:val="0"/>
          <w:sz w:val="16"/>
          <w:szCs w:val="16"/>
          <w:shd w:val="clear" w:color="auto" w:fill="auto"/>
          <w:lang w:val="en-US" w:eastAsia="en-US" w:bidi="en-US"/>
        </w:rPr>
        <w:t>Materials for a Sumerian Lexicon,</w:t>
      </w:r>
      <w:r>
        <w:rPr>
          <w:color w:val="000000"/>
          <w:spacing w:val="0"/>
          <w:w w:val="100"/>
          <w:position w:val="0"/>
          <w:sz w:val="15"/>
          <w:szCs w:val="15"/>
          <w:shd w:val="clear" w:color="auto" w:fill="auto"/>
          <w:lang w:val="en-US" w:eastAsia="en-US" w:bidi="en-US"/>
        </w:rPr>
        <w:t xml:space="preserve"> p. 14.</w:t>
      </w:r>
    </w:p>
    <w:p>
      <w:pPr>
        <w:pStyle w:val="Style2"/>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Ibid. pp. 20-34.</w:t>
      </w:r>
    </w:p>
    <w:p>
      <w:pPr>
        <w:widowControl w:val="0"/>
        <w:spacing w:line="1" w:lineRule="exact"/>
      </w:pPr>
    </w:p>
    <w:sectPr>
      <w:footnotePr>
        <w:pos w:val="pageBottom"/>
        <w:numFmt w:val="decimal"/>
        <w:numRestart w:val="continuous"/>
      </w:footnotePr>
      <w:type w:val="continuous"/>
      <w:pgSz w:w="12240" w:h="15840"/>
      <w:pgMar w:top="1289" w:left="1027" w:right="1190"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