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was next conferred in 1717 on Talbot Yelverton, 2nd Viscount </w:t>
      </w:r>
      <w:r>
        <w:rPr>
          <w:color w:val="000000"/>
          <w:spacing w:val="0"/>
          <w:w w:val="100"/>
          <w:position w:val="0"/>
          <w:shd w:val="clear" w:color="auto" w:fill="auto"/>
          <w:lang w:val="fr-FR" w:eastAsia="fr-FR" w:bidi="fr-FR"/>
        </w:rPr>
        <w:t xml:space="preserve">de Longueville </w:t>
      </w:r>
      <w:r>
        <w:rPr>
          <w:color w:val="000000"/>
          <w:spacing w:val="0"/>
          <w:w w:val="100"/>
          <w:position w:val="0"/>
          <w:shd w:val="clear" w:color="auto" w:fill="auto"/>
          <w:lang w:val="en-US" w:eastAsia="en-US" w:bidi="en-US"/>
        </w:rPr>
        <w:t>and 16th Baron Grey de Ruthyn (c. 1692-1731), from whom it descended to his two sons successively, becoming once more extinct on the death of the younger of these, Henry, 3rd earl of Sussex of this creation, in 1799.</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1801 Prince Augustus Frederick (1773-1843) the sixth son of George III., was created duke of Sussex. Spending his early years abroad, the prince was married in Rome in 1793 to Lady Augusta (d. 1830) daughter of John Murray, 4th earl of Dunmore. The ceremony was repeated in London and two children were born, but under the Royal Marriage Act of 1772 the Court of Arches declared the union illegal. The children took the name of d’Este. The son, Sir Augustus Frederick d’Este (1794-1848), became a colonel in the British army. In 1843 he claimed his father’s honours, but the House of Lords decided against him. He died unmarried. The daughter, Augusta Emma (1801- 1866) married Sir Thomas Wilde, afterwards Lord Truro. Unlike his brothers the duke of Sussex was a man of liberal ideas; he favoured the abolition of the slave trade, the repeal of the corn laws, and the removal of the civil disabilities of Roman Catholics, Dissenters and Jews. His second wife, Cecilia, widow of Sir George Buggin, was created duchess of Inverness in 1840. He died at Kensington Palace on the 21st of April 1843.</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older title of earl of Sussex was revived in 1874 when it was conferred upon Prince Albert, the third son of Queen Victoria, who at the same time was created duke of Connaught and Strathearn.</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 xml:space="preserve">E. C., </w:t>
      </w:r>
      <w:r>
        <w:rPr>
          <w:i/>
          <w:iCs/>
          <w:color w:val="000000"/>
          <w:spacing w:val="0"/>
          <w:w w:val="100"/>
          <w:position w:val="0"/>
          <w:sz w:val="16"/>
          <w:szCs w:val="16"/>
          <w:shd w:val="clear" w:color="auto" w:fill="auto"/>
          <w:lang w:val="en-US" w:eastAsia="en-US" w:bidi="en-US"/>
        </w:rPr>
        <w:t>Complete Peerage, s.v.</w:t>
      </w:r>
      <w:r>
        <w:rPr>
          <w:color w:val="000000"/>
          <w:spacing w:val="0"/>
          <w:w w:val="100"/>
          <w:position w:val="0"/>
          <w:sz w:val="15"/>
          <w:szCs w:val="15"/>
          <w:shd w:val="clear" w:color="auto" w:fill="auto"/>
          <w:lang w:val="en-US" w:eastAsia="en-US" w:bidi="en-US"/>
        </w:rPr>
        <w:t xml:space="preserve"> “ Sussex,” “ Surrey,” " Arun</w:t>
        <w:softHyphen/>
        <w:t xml:space="preserve">del,”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 xml:space="preserve">i. and vii. (London, 1887-1896); Sir William Dugdale, </w:t>
      </w:r>
      <w:r>
        <w:rPr>
          <w:i/>
          <w:iCs/>
          <w:color w:val="000000"/>
          <w:spacing w:val="0"/>
          <w:w w:val="100"/>
          <w:position w:val="0"/>
          <w:sz w:val="16"/>
          <w:szCs w:val="16"/>
          <w:shd w:val="clear" w:color="auto" w:fill="auto"/>
          <w:lang w:val="en-US" w:eastAsia="en-US" w:bidi="en-US"/>
        </w:rPr>
        <w:t>The Baronage of England</w:t>
      </w:r>
      <w:r>
        <w:rPr>
          <w:color w:val="000000"/>
          <w:spacing w:val="0"/>
          <w:w w:val="100"/>
          <w:position w:val="0"/>
          <w:sz w:val="15"/>
          <w:szCs w:val="15"/>
          <w:shd w:val="clear" w:color="auto" w:fill="auto"/>
          <w:lang w:val="en-US" w:eastAsia="en-US" w:bidi="en-US"/>
        </w:rPr>
        <w:t xml:space="preserve"> (London, 1675). For the earls of the Radcliffe family see also John Strype, </w:t>
      </w:r>
      <w:r>
        <w:rPr>
          <w:i/>
          <w:iCs/>
          <w:color w:val="000000"/>
          <w:spacing w:val="0"/>
          <w:w w:val="100"/>
          <w:position w:val="0"/>
          <w:sz w:val="16"/>
          <w:szCs w:val="16"/>
          <w:shd w:val="clear" w:color="auto" w:fill="auto"/>
          <w:lang w:val="en-US" w:eastAsia="en-US" w:bidi="en-US"/>
        </w:rPr>
        <w:t>Memorials of Thomas Cranmer</w:t>
      </w:r>
      <w:r>
        <w:rPr>
          <w:color w:val="000000"/>
          <w:spacing w:val="0"/>
          <w:w w:val="100"/>
          <w:position w:val="0"/>
          <w:sz w:val="15"/>
          <w:szCs w:val="15"/>
          <w:shd w:val="clear" w:color="auto" w:fill="auto"/>
          <w:lang w:val="en-US" w:eastAsia="en-US" w:bidi="en-US"/>
        </w:rPr>
        <w:t xml:space="preserve"> (London, 1694), </w:t>
      </w:r>
      <w:r>
        <w:rPr>
          <w:i/>
          <w:iCs/>
          <w:color w:val="000000"/>
          <w:spacing w:val="0"/>
          <w:w w:val="100"/>
          <w:position w:val="0"/>
          <w:sz w:val="16"/>
          <w:szCs w:val="16"/>
          <w:shd w:val="clear" w:color="auto" w:fill="auto"/>
          <w:lang w:val="en-US" w:eastAsia="en-US" w:bidi="en-US"/>
        </w:rPr>
        <w:t>Annals of the Reformation</w:t>
      </w:r>
      <w:r>
        <w:rPr>
          <w:color w:val="000000"/>
          <w:spacing w:val="0"/>
          <w:w w:val="100"/>
          <w:position w:val="0"/>
          <w:sz w:val="15"/>
          <w:szCs w:val="15"/>
          <w:shd w:val="clear" w:color="auto" w:fill="auto"/>
          <w:lang w:val="en-US" w:eastAsia="en-US" w:bidi="en-US"/>
        </w:rPr>
        <w:t xml:space="preserve"> (London, 1725), and </w:t>
      </w:r>
      <w:r>
        <w:rPr>
          <w:i/>
          <w:iCs/>
          <w:color w:val="000000"/>
          <w:spacing w:val="0"/>
          <w:w w:val="100"/>
          <w:position w:val="0"/>
          <w:sz w:val="16"/>
          <w:szCs w:val="16"/>
          <w:shd w:val="clear" w:color="auto" w:fill="auto"/>
          <w:lang w:val="en-US" w:eastAsia="en-US" w:bidi="en-US"/>
        </w:rPr>
        <w:t>Ecclesiastical Memorials</w:t>
      </w:r>
      <w:r>
        <w:rPr>
          <w:color w:val="000000"/>
          <w:spacing w:val="0"/>
          <w:w w:val="100"/>
          <w:position w:val="0"/>
          <w:sz w:val="15"/>
          <w:szCs w:val="15"/>
          <w:shd w:val="clear" w:color="auto" w:fill="auto"/>
          <w:lang w:val="en-US" w:eastAsia="en-US" w:bidi="en-US"/>
        </w:rPr>
        <w:t xml:space="preserve"> (3 vols., London, 1721); </w:t>
      </w:r>
      <w:r>
        <w:rPr>
          <w:color w:val="000000"/>
          <w:spacing w:val="0"/>
          <w:w w:val="100"/>
          <w:position w:val="0"/>
          <w:sz w:val="15"/>
          <w:szCs w:val="15"/>
          <w:shd w:val="clear" w:color="auto" w:fill="auto"/>
          <w:lang w:val="fr-FR" w:eastAsia="fr-FR" w:bidi="fr-FR"/>
        </w:rPr>
        <w:t xml:space="preserve">P. </w:t>
      </w:r>
      <w:r>
        <w:rPr>
          <w:color w:val="000000"/>
          <w:spacing w:val="0"/>
          <w:w w:val="100"/>
          <w:position w:val="0"/>
          <w:sz w:val="15"/>
          <w:szCs w:val="15"/>
          <w:shd w:val="clear" w:color="auto" w:fill="auto"/>
          <w:lang w:val="en-US" w:eastAsia="en-US" w:bidi="en-US"/>
        </w:rPr>
        <w:t xml:space="preserve">F. Tytler, </w:t>
      </w:r>
      <w:r>
        <w:rPr>
          <w:i/>
          <w:iCs/>
          <w:color w:val="000000"/>
          <w:spacing w:val="0"/>
          <w:w w:val="100"/>
          <w:position w:val="0"/>
          <w:sz w:val="16"/>
          <w:szCs w:val="16"/>
          <w:shd w:val="clear" w:color="auto" w:fill="auto"/>
          <w:lang w:val="en-US" w:eastAsia="en-US" w:bidi="en-US"/>
        </w:rPr>
        <w:t>England under the Reigns of Edward VI. and Mary</w:t>
      </w:r>
      <w:r>
        <w:rPr>
          <w:color w:val="000000"/>
          <w:spacing w:val="0"/>
          <w:w w:val="100"/>
          <w:position w:val="0"/>
          <w:sz w:val="15"/>
          <w:szCs w:val="15"/>
          <w:shd w:val="clear" w:color="auto" w:fill="auto"/>
          <w:lang w:val="en-US" w:eastAsia="en-US" w:bidi="en-US"/>
        </w:rPr>
        <w:t xml:space="preserve"> (2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 xml:space="preserve">London, 1839) ; </w:t>
      </w:r>
      <w:r>
        <w:rPr>
          <w:i/>
          <w:iCs/>
          <w:color w:val="000000"/>
          <w:spacing w:val="0"/>
          <w:w w:val="100"/>
          <w:position w:val="0"/>
          <w:sz w:val="16"/>
          <w:szCs w:val="16"/>
          <w:shd w:val="clear" w:color="auto" w:fill="auto"/>
          <w:lang w:val="en-US" w:eastAsia="en-US" w:bidi="en-US"/>
        </w:rPr>
        <w:t xml:space="preserve">Calendars of State Papers: Letters and Papers of the Reign of </w:t>
      </w:r>
      <w:r>
        <w:rPr>
          <w:i/>
          <w:iCs/>
          <w:color w:val="000000"/>
          <w:spacing w:val="0"/>
          <w:w w:val="100"/>
          <w:position w:val="0"/>
          <w:sz w:val="16"/>
          <w:szCs w:val="16"/>
          <w:shd w:val="clear" w:color="auto" w:fill="auto"/>
          <w:lang w:val="de-DE" w:eastAsia="de-DE" w:bidi="de-DE"/>
        </w:rPr>
        <w:t xml:space="preserve">Henry </w:t>
      </w:r>
      <w:r>
        <w:rPr>
          <w:i/>
          <w:iCs/>
          <w:color w:val="000000"/>
          <w:spacing w:val="0"/>
          <w:w w:val="100"/>
          <w:position w:val="0"/>
          <w:sz w:val="16"/>
          <w:szCs w:val="16"/>
          <w:shd w:val="clear" w:color="auto" w:fill="auto"/>
          <w:lang w:val="en-US" w:eastAsia="en-US" w:bidi="en-US"/>
        </w:rPr>
        <w:t>VIII.</w:t>
      </w:r>
      <w:r>
        <w:rPr>
          <w:color w:val="000000"/>
          <w:spacing w:val="0"/>
          <w:w w:val="100"/>
          <w:position w:val="0"/>
          <w:sz w:val="15"/>
          <w:szCs w:val="15"/>
          <w:shd w:val="clear" w:color="auto" w:fill="auto"/>
          <w:lang w:val="en-US" w:eastAsia="en-US" w:bidi="en-US"/>
        </w:rPr>
        <w:t xml:space="preserve"> For the 1</w:t>
      </w:r>
      <w:r>
        <w:rPr>
          <w:color w:val="000000"/>
          <w:spacing w:val="0"/>
          <w:w w:val="100"/>
          <w:position w:val="0"/>
          <w:sz w:val="15"/>
          <w:szCs w:val="15"/>
          <w:shd w:val="clear" w:color="auto" w:fill="auto"/>
          <w:lang w:val="de-DE" w:eastAsia="de-DE" w:bidi="de-DE"/>
        </w:rPr>
        <w:t xml:space="preserve">st </w:t>
      </w:r>
      <w:r>
        <w:rPr>
          <w:color w:val="000000"/>
          <w:spacing w:val="0"/>
          <w:w w:val="100"/>
          <w:position w:val="0"/>
          <w:sz w:val="15"/>
          <w:szCs w:val="15"/>
          <w:shd w:val="clear" w:color="auto" w:fill="auto"/>
          <w:lang w:val="en-US" w:eastAsia="en-US" w:bidi="en-US"/>
        </w:rPr>
        <w:t xml:space="preserve">earl of the Savile line see </w:t>
      </w:r>
      <w:r>
        <w:rPr>
          <w:color w:val="000000"/>
          <w:spacing w:val="0"/>
          <w:w w:val="100"/>
          <w:position w:val="0"/>
          <w:sz w:val="15"/>
          <w:szCs w:val="15"/>
          <w:shd w:val="clear" w:color="auto" w:fill="auto"/>
          <w:lang w:val="fr-FR" w:eastAsia="fr-FR" w:bidi="fr-FR"/>
        </w:rPr>
        <w:t xml:space="preserve">S. </w:t>
      </w:r>
      <w:r>
        <w:rPr>
          <w:color w:val="000000"/>
          <w:spacing w:val="0"/>
          <w:w w:val="100"/>
          <w:position w:val="0"/>
          <w:sz w:val="15"/>
          <w:szCs w:val="15"/>
          <w:shd w:val="clear" w:color="auto" w:fill="auto"/>
          <w:lang w:val="en-US" w:eastAsia="en-US" w:bidi="en-US"/>
        </w:rPr>
        <w:t xml:space="preserve">R. Gardiner, </w:t>
      </w:r>
      <w:r>
        <w:rPr>
          <w:i/>
          <w:iCs/>
          <w:color w:val="000000"/>
          <w:spacing w:val="0"/>
          <w:w w:val="100"/>
          <w:position w:val="0"/>
          <w:sz w:val="15"/>
          <w:szCs w:val="15"/>
          <w:shd w:val="clear" w:color="auto" w:fill="auto"/>
          <w:lang w:val="en-US" w:eastAsia="en-US" w:bidi="en-US"/>
        </w:rPr>
        <w:t>Hist.</w:t>
      </w:r>
      <w:r>
        <w:rPr>
          <w:smallCap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of England, 1603-1642</w:t>
      </w:r>
      <w:r>
        <w:rPr>
          <w:color w:val="000000"/>
          <w:spacing w:val="0"/>
          <w:w w:val="100"/>
          <w:position w:val="0"/>
          <w:sz w:val="15"/>
          <w:szCs w:val="15"/>
          <w:shd w:val="clear" w:color="auto" w:fill="auto"/>
          <w:lang w:val="en-US" w:eastAsia="en-US" w:bidi="en-US"/>
        </w:rPr>
        <w:t xml:space="preserve"> (10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 xml:space="preserve">London, 1883-1884), and </w:t>
      </w:r>
      <w:r>
        <w:rPr>
          <w:i/>
          <w:iCs/>
          <w:color w:val="000000"/>
          <w:spacing w:val="0"/>
          <w:w w:val="100"/>
          <w:position w:val="0"/>
          <w:sz w:val="16"/>
          <w:szCs w:val="16"/>
          <w:shd w:val="clear" w:color="auto" w:fill="auto"/>
          <w:lang w:val="en-US" w:eastAsia="en-US" w:bidi="en-US"/>
        </w:rPr>
        <w:t>Hist. of the Great Civil War</w:t>
      </w:r>
      <w:r>
        <w:rPr>
          <w:color w:val="000000"/>
          <w:spacing w:val="0"/>
          <w:w w:val="100"/>
          <w:position w:val="0"/>
          <w:sz w:val="15"/>
          <w:szCs w:val="15"/>
          <w:shd w:val="clear" w:color="auto" w:fill="auto"/>
          <w:lang w:val="en-US" w:eastAsia="en-US" w:bidi="en-US"/>
        </w:rPr>
        <w:t xml:space="preserve"> (3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 xml:space="preserve">London, 1886-1891); and John Rushworth, </w:t>
      </w:r>
      <w:r>
        <w:rPr>
          <w:i/>
          <w:iCs/>
          <w:color w:val="000000"/>
          <w:spacing w:val="0"/>
          <w:w w:val="100"/>
          <w:position w:val="0"/>
          <w:sz w:val="16"/>
          <w:szCs w:val="16"/>
          <w:shd w:val="clear" w:color="auto" w:fill="auto"/>
          <w:lang w:val="en-US" w:eastAsia="en-US" w:bidi="en-US"/>
        </w:rPr>
        <w:t>Historical Collections</w:t>
      </w:r>
      <w:r>
        <w:rPr>
          <w:color w:val="000000"/>
          <w:spacing w:val="0"/>
          <w:w w:val="100"/>
          <w:position w:val="0"/>
          <w:sz w:val="15"/>
          <w:szCs w:val="15"/>
          <w:shd w:val="clear" w:color="auto" w:fill="auto"/>
          <w:lang w:val="en-US" w:eastAsia="en-US" w:bidi="en-US"/>
        </w:rPr>
        <w:t xml:space="preserve"> (8 vols., London, 1659-1701).</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SUSSEX, THOMAS RADCLYFFE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Ratclyffe],</w:t>
      </w:r>
      <w:r>
        <w:rPr>
          <w:color w:val="000000"/>
          <w:spacing w:val="0"/>
          <w:w w:val="100"/>
          <w:position w:val="0"/>
          <w:shd w:val="clear" w:color="auto" w:fill="auto"/>
          <w:lang w:val="en-US" w:eastAsia="en-US" w:bidi="en-US"/>
        </w:rPr>
        <w:t xml:space="preserve"> 3</w:t>
      </w:r>
      <w:r>
        <w:rPr>
          <w:smallCaps/>
          <w:color w:val="000000"/>
          <w:spacing w:val="0"/>
          <w:w w:val="100"/>
          <w:position w:val="0"/>
          <w:shd w:val="clear" w:color="auto" w:fill="auto"/>
          <w:lang w:val="en-US" w:eastAsia="en-US" w:bidi="en-US"/>
        </w:rPr>
        <w:t>rd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Earl of</w:t>
      </w:r>
      <w:r>
        <w:rPr>
          <w:color w:val="000000"/>
          <w:spacing w:val="0"/>
          <w:w w:val="100"/>
          <w:position w:val="0"/>
          <w:shd w:val="clear" w:color="auto" w:fill="auto"/>
          <w:lang w:val="en-US" w:eastAsia="en-US" w:bidi="en-US"/>
        </w:rPr>
        <w:t xml:space="preserve"> (c. 1525-1583), lord-lieutenant of Ireland, eldest son of Henry, 2nd carl of Sussex (see </w:t>
      </w:r>
      <w:r>
        <w:rPr>
          <w:smallCaps/>
          <w:color w:val="000000"/>
          <w:spacing w:val="0"/>
          <w:w w:val="100"/>
          <w:position w:val="0"/>
          <w:shd w:val="clear" w:color="auto" w:fill="auto"/>
          <w:lang w:val="en-US" w:eastAsia="en-US" w:bidi="en-US"/>
        </w:rPr>
        <w:t>Sussex, Earls of),</w:t>
      </w:r>
      <w:r>
        <w:rPr>
          <w:color w:val="000000"/>
          <w:spacing w:val="0"/>
          <w:w w:val="100"/>
          <w:position w:val="0"/>
          <w:shd w:val="clear" w:color="auto" w:fill="auto"/>
          <w:lang w:val="en-US" w:eastAsia="en-US" w:bidi="en-US"/>
        </w:rPr>
        <w:t xml:space="preserve"> by his first wife, Elizabeth, daughter of Thomas Howard, 2nd duke of Norfolk, was born about 1525, and after his father’s succession to the earldom in 1542 was styled Viscount Fitzwalter. After serving in the army abroad, he was employed in 1551 in negotiating a marriage between Edward VI. and a daughter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II., king of France. His prominence in the kingdom was shown by his inclusion among the signatories to the letters patent of the 16th of June 1553 settling the crown on Lady Jane Grey; but he nevertheless won favour with Queen Mary, who employed him in arranging her marriage with Philip of Spain, and who raised him to the peerage as Baron Fitzwalter in August 1553.</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Returning to England from a mission to the emperor Charles V. in April 1556, Fitzwalter was appointed lord deputy of Ireland. The prevailing anarchy in Ireland, a country which, nominally subject to the English Crown, was torn by feuds among its practically independent native chieftains, rendered the task of the lord deputy one of no ordinary difficulty; a difficulty that was increased by the ignorance of English statesmen con</w:t>
        <w:softHyphen/>
        <w:t>cerning Ireland and Irish conditions, and by their incapacity to devise or to carry into execution any consistent and thorough</w:t>
        <w:softHyphen/>
        <w:t xml:space="preserve">going policy for bringing the half-conquered island under an orderly system of administration. The measures enjoined upon Fitzwalter by the government in London comprised the reversal of the partial attempts that had been made during the short reign of Edward VI. to promote Protestantism in Ireland, and the “ plantation ” by English settlers of that part of the country then known as Offaly and Leix. But before Fitzwalter could give his attention to such matters he found it necessary to make an expedition into Ulster, which was being kept in a constant state of disturbance by the Highland Scots from Kintyre and the Islands who were making settlements along </w:t>
      </w:r>
      <w:r>
        <w:rPr>
          <w:color w:val="000000"/>
          <w:spacing w:val="0"/>
          <w:w w:val="100"/>
          <w:position w:val="0"/>
          <w:shd w:val="clear" w:color="auto" w:fill="auto"/>
          <w:lang w:val="en-US" w:eastAsia="en-US" w:bidi="en-US"/>
        </w:rPr>
        <w:t>the Antrim coast in the district known as the Glynnes (glens), and by the efforts of Shane O’Neill to convert into effective sovereignty the chieftainship of his clan which he had recently wrested from his father, Conn,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earl of Tyrone. Having defeated O’Neill and his allies the MacDonnells, the lord deputy, who by the death of his father in February 1557 became earl of Sussex, returned to Dublin, where he summoned a parliament in June of that year. Statutes were passed declaring the legiti</w:t>
        <w:softHyphen/>
        <w:t xml:space="preserve">macy of Queen Mary, reviving the laws for the suppression of heresy, forbidding the immigration of Scots, and vesting in the Crown the territory comprised in what are now the King’s County and Queen’s County, which were then so named after Philip and Mary respectively. Having carried this legislation, Sussex endeavoured to give forcible effect to it, first by taking the field against Donough O’Conor, whom he failed to capture, and aftenvards against Shane O’Neill, whose lands in Tyrone he ravaged, restoring to their nominal rights the earl of Tyrone and his reputed son Matthew O’Neill, baron of Dungannon (see </w:t>
      </w:r>
      <w:r>
        <w:rPr>
          <w:smallCaps/>
          <w:color w:val="000000"/>
          <w:spacing w:val="0"/>
          <w:w w:val="100"/>
          <w:position w:val="0"/>
          <w:shd w:val="clear" w:color="auto" w:fill="auto"/>
          <w:lang w:val="en-US" w:eastAsia="en-US" w:bidi="en-US"/>
        </w:rPr>
        <w:t>O’Neill).</w:t>
      </w:r>
      <w:r>
        <w:rPr>
          <w:color w:val="000000"/>
          <w:spacing w:val="0"/>
          <w:w w:val="100"/>
          <w:position w:val="0"/>
          <w:shd w:val="clear" w:color="auto" w:fill="auto"/>
          <w:lang w:val="en-US" w:eastAsia="en-US" w:bidi="en-US"/>
        </w:rPr>
        <w:t xml:space="preserve"> In June of the following year Sussex turned his attention to the west, where the head of the O’Briens had ousted his nephew Conor O’Brien, earl of Thomond, from his possessions, and refused to pay allegiance to the Crown; he forced Limerick to open its gates to him, restored Thomond, and proclaimed The O’Brien a traitor. In the autumn of 1558 the continued inroads of the Scottish islanders in the Antrim glens called for drastic treatment by the lord deputy. Sussex laid waste Kintyre and some of the southern Hebridean isles, and land</w:t>
        <w:softHyphen/>
        <w:t>ing at Carrickfergus he fired and plundered the settlements of the Scots on the Antrim coast before returning to Dublin for Christmas.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metropolis the news reached him of the queen’s death. Crossing to England, he took part in the ceremonial of Queen Elizabeth’s coronation in January 1559; and in the following July he returned to Ireland with a fresh commission, now as lord lieutenant, from the new queen, whose policy required him to come to terms if possible with the troublesome leaders of thc O’Neills and the MacDonnells. Shane O’Neill refused to meet Sussex without security for his safety, and having estab</w:t>
        <w:softHyphen/>
        <w:t>lished his power in Ulster he demanded terms of peace which Elizabeth was unwilling to grant. Sussex failed in his efforts to bring Shane to submission, either by open warfare or by a shameful attempt to procure the Irish chieftain’s assassination. He was preparing for a fresh attempt when he was superseded by the earl of Kildare, who was commissioned by Elizabeth to open negotiations with O’Neill, the result of which was that the latter repaired to London and made formal submission to the queen. Shane’s conduct on his return to Ireland was no less rebellious than before, and energetic measures against him became more imperative than ever. Having obtained Eliza</w:t>
        <w:softHyphen/>
        <w:t>beth’s sanction, Sussex conducted a campaign in the summer of 1563 with Armagh as his temporary headquarters; but except for some indecisive skirmishing and the seizure of many of O’Neill’s cattle, the operations led to no result and left Shane O’Neill with his power little diminished. His continued failure to effect a purpose for the accomplishment of which he possessed inadequate resources led Sussex to pray for his recall from Ireland; and his wish was granted in May 1564. His govern</w:t>
        <w:softHyphen/>
        <w:t>ment of Ireland had not, however, been wholly without fruit. Sussex was the first representative of the English Crown who enforced authority to any considerable extent beyond the limits of the Pale; the policy of planting English settlers in Offaly and Leix was carried out by him in 1562 with a certain measure of success; and although he fell far short of estab</w:t>
        <w:softHyphen/>
        <w:t>lishing English rule throughout any large part of Ireland, he made its influence felt in remote parts of the island, such as Thomond and the Glynnes of Antrim, where the independence of the native septs had hitherto been subjected not even to nominal interference. His letters from Ireland display a just conception of the problems with which he was confronted, and of the methods by which their solution should be undertaken; and his failure was due, not to lack of statesmanship or of executive capacity on his own part, but to the insufficiency</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