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the Second Chamber, but nothing in connexion with the great question of customs was settled. In the meantime, the powerful majority in the Second Chamber split into two groups—the new “ Landtmanna ” party, which approved protection in the interests of agricultural classes; and a somewhat smaller group, the old “ Landtmanna ” party, which favoured free trade.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victory of the free traders was not, however, destined to be of long duration, as the protectionists obtained a majority in both chambers in the next Riksdag (1888). To the First Chamber protectionists were almost exclusively elected, and in the Second all the twenty-two members for Stockholm were disqualified, owing to one of their number not having paid his taxes a few years previously, which prevented his being eligible. Instead, then, of twenty-two free traders representing the majority of the Stockholm electors, twenty-two protectionists, representing the minority, were elected, and Stockholm was thus represented in the Riksdag by the choice of a minority in the capital. This singular way of electing members for the principal city in the kingdom could not fail further to irritate the parties. One result of the Stockholm election came at a convenient time for the Themptauder ministry. The financial affairs of the country were found to be in a most unsatisfactory state. In spite of reduced expenses, a highly estimated revenue, and the contem</w:t>
        <w:softHyphen/>
        <w:t>plated raising of taxes, there was a deficit, for the payment or discharge of which the government would be obliged to demand supplementary supplies. The Themptauder ministry resigned. The king retained, however, for a time several members of the ministry, but it was difficult to find a premier who would be able, during the transition from one system to another, to com</w:t>
        <w:softHyphen/>
        <w:t>mand sufficient authority to control the parties. At last Baron Gillis Bildt, who, while Swedish ambassador in Berlin, had wit</w:t>
        <w:softHyphen/>
        <w:t>nessed the introduction by Prince Bismarck of the agrarian protectionist system in Germany, accepted the premiership, and it was under his auspices that the two chambers imposed a series of duties on necessaries of life. The new taxes, together with an increase of the excise duty on spirits, soon brought a surplus into the state coffers. At a council of state (Oct. 12, 1888) the king declared his wishes as to the way in which this surplus should be used. He desired that it should be applied to a fund for insurance and old age pensions for workmen and old people, to the lightening of the municipal taxes by state contributions to the schools and workhouses, to the abolition of the land taxes and of the obligation of keeping a horse and man for military service, and, lastly, to the improvement of the shipping trade; but the Riksdag decided to devote it to other objects, such as the payment of the deficit in the budget, the building of railways and augmentation of their material, as well as to improvements in the defences of the country.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Baron Bildt resigned as soon as the new system seemed settled, making room for Baron Gustav Akerhjelm. The latter, however, also soon resigned, and was succeeded on the 10th of July 1891 by Erik Gustav Boström, a landed proprietor. The protectionist system gained in favour on the expiry of the commercial treaty with France in 1892, as it could now be extended to articles of industry. The elections of 1890, when the metropolis returned free traders and Liberals to the Second Chamber, certainly effected a change in the latter, as the representatives of the towns and the old “ Landtmanna ” party joined issue and established a free-trade majority in the chamber, but in the combined meetings of the two chambers the compact protectionist majority in the First Chamber turned the scale. The customs duties were, however, altered several times in accordance with market prices and ruling circumstances. Thus in 1892, when the import duty on unground corn was reduced from 2s. 10d. to 1s. 5d., and that on ground corn from 4s. 9d. to 2s. 10d. for 100 kilogrammes, the same duties were also retained for the following year. They were also retained for 1894 at the request of the government, which desired to keep faith with their promise that while the new organization of the army was going on no increase of duties on the necessaries of life should take place. This measure caused much dissatisfaction, and gave rise to a strong agrarian move</w:t>
        <w:softHyphen/>
        <w:t xml:space="preserve">ment, in consequence of which the government, in the beginning </w:t>
      </w:r>
      <w:r>
        <w:rPr>
          <w:color w:val="000000"/>
          <w:spacing w:val="0"/>
          <w:w w:val="100"/>
          <w:position w:val="0"/>
          <w:shd w:val="clear" w:color="auto" w:fill="auto"/>
          <w:lang w:val="en-US" w:eastAsia="en-US" w:bidi="en-US"/>
        </w:rPr>
        <w:t>of 1895, before the assembling of the Riksdag, made use of its right of raising the two duties on corn just referred to, 3s. 7d. and 7s. 2d., which were afterwards somewhat reduced as far as seed corn for sowing purposes was concerned.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question of customs duties now settled, that of national defence was taken up afresh, and in the following year the government produced a complete scheme for the abolition of the land tax in the course of ten years, in exchange for a compensation of ninety days’ drill for those liable to military service, proposed to retain the old military system of the country and to strengthen the defences of Norrland, and the government bill for a reorganization of the army was accepted by the Riksdag in an extraordinary session. But it was soon perceived that the new plan was unsatisfactory and required recasting, upon which the minister of war, Baron </w:t>
      </w:r>
      <w:r>
        <w:rPr>
          <w:color w:val="000000"/>
          <w:spacing w:val="0"/>
          <w:w w:val="100"/>
          <w:position w:val="0"/>
          <w:shd w:val="clear" w:color="auto" w:fill="auto"/>
          <w:lang w:val="de-DE" w:eastAsia="de-DE" w:bidi="de-DE"/>
        </w:rPr>
        <w:t xml:space="preserve">Rappe, </w:t>
      </w:r>
      <w:r>
        <w:rPr>
          <w:color w:val="000000"/>
          <w:spacing w:val="0"/>
          <w:w w:val="100"/>
          <w:position w:val="0"/>
          <w:shd w:val="clear" w:color="auto" w:fill="auto"/>
          <w:lang w:val="en-US" w:eastAsia="en-US" w:bidi="en-US"/>
        </w:rPr>
        <w:t>resigned, and was succeeded by Colonel von Crustebjorn, who immediately set to work to prepare a complete reorganiza</w:t>
        <w:softHyphen/>
        <w:t>tion of the. army, with an increase of the time of active service on the lines of general compulsory service. The Riksdag of 1900, in addition to grants for the fortifications at Boden, in the pro</w:t>
        <w:softHyphen/>
        <w:t>vince of Norrbotten, on the Russian border, and other military objects, voted a considerable grant for an experimental mobiliza</w:t>
        <w:softHyphen/>
        <w:t xml:space="preserve">tion, which fully exposed the defects and faults of the old system. In the Riksdag of 1901 E. G. Boström resigned, and was succeeded by Admiral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 von Otter, who introduced a new bill for the army reorganization, the most important item of which was the increase of the period of training to 365 days. The cost in con</w:t>
        <w:softHyphen/>
        <w:t>nexion with the new scheme was expected to amount to 22 millions of kronor. The Riksdag, however, did not accept the new plan in its full extent. The time of drilling was reduced to 240 days for the infantry, to 3∞ days for the navy, while for the cavalry and artillery the time fixed was 365 days. The plan, thus modified, was then accepted by the government.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the elections in 1890, the alliance already mentioned between the old “ Landtmanna ” party and the representatives of the towns had the result that the Liberals in the Second Chamber, to whom the representatives of the towns mostly belonged, were now in a position to decide the policy which the two united parties should follow'. In order to prevent this, it was proposed to readjust the number of the members of the Riksdag. The question was only settled in 1894, when a bill was passed fixing the number of the members of the Riksdag in the First Chamber at 150, and in the Second at 230, of which 150 should represent the country districts and 80 the towns. The question of protection being now considered settled, there was no longer any reason for the continued separa</w:t>
        <w:softHyphen/>
        <w:t>tion of the two “ Landtmanna” parties, who at the beginningof the Riksdag of 1895 joined issue and became once more a compact majority in the Second Chamber, as they had been up to the Riksdag of May 1887. The influence of the country represen</w:t>
        <w:softHyphen/>
        <w:t>tatives was thus re-established in the Second Chamber, but now the demands for the extension of the franchise came more and more to the front, and the premier, Boström, at last felt bound to do something to meet these demands. He accordingly intro</w:t>
        <w:softHyphen/>
        <w:t>duced in the Riksdag of 1896 a very’ moderate bill for the exten</w:t>
        <w:softHyphen/>
        <w:t>sion of the franchise, which was, nevertheless, rejected by both chambers, all similar proposals by private members meeting the same fate. When at last the bill for the reorganization of the army, together with a considerably increased taxation, was accepted by the Riksdag of 1901, it was generally acknowledged that, in return for the increased taxation, it would only be just to extend the right of taking part in the political life and the legislative work of the country to those of the population who hitherto had been excluded from it. The government eventually laid a proposal for the extension of the franchise before the Riksdag of 1902, the chief feature of which was that the elector should be twenty-five years of age, and that married men over forty years should be entitled to two votes. The Riksdag, how</w:t>
        <w:softHyphen/>
        <w:t>ever, finally agreed to a proposal by Bishop Billing, a member of the First Chamber, that an address should be presented to the king asking for a full inquiry into the question of extending the franchise for the election of members to the Second Chamber.</w:t>
      </w:r>
    </w:p>
    <w:sectPr>
      <w:footnotePr>
        <w:pos w:val="pageBottom"/>
        <w:numFmt w:val="decimal"/>
        <w:numRestart w:val="continuous"/>
      </w:footnotePr>
      <w:pgSz w:w="12240" w:h="15840"/>
      <w:pgMar w:top="1322" w:left="1034" w:right="1140"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