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z w:val="17"/>
          <w:szCs w:val="17"/>
          <w:shd w:val="clear" w:color="auto" w:fill="auto"/>
          <w:lang w:val="el-GR" w:eastAsia="el-GR" w:bidi="el-GR"/>
        </w:rPr>
        <w:t>Χριστός</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which Constantine figured on his labarum, or standard, and is found on early Christian coins, bearing also the favourite decoration of the Byzantine sarcophagi. the four evangelical symbols are taken from the book of Ezekiel and from the Book of Revelations; thus the winged man is St Matthew, the winged lion St Mark, the winged ox St Luke and the eagle St John; and these four symbols became the favourite subject for repre</w:t>
        <w:softHyphen/>
        <w:t>sentation in the Church. Besides these the other evangelists and the saints carry emblems by which they may be recognized; thus St Andrew by the cross, St Peter by the keys, St Paul by the sword, St Edward by a cup and dagger, St Mary Magdalene by a box or vase, St Lawrence by a gridiron, St Faith also by a gridiron, &amp;c.</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SYME, JAMES </w:t>
      </w:r>
      <w:r>
        <w:rPr>
          <w:color w:val="000000"/>
          <w:spacing w:val="0"/>
          <w:w w:val="100"/>
          <w:position w:val="0"/>
          <w:shd w:val="clear" w:color="auto" w:fill="auto"/>
          <w:lang w:val="en-US" w:eastAsia="en-US" w:bidi="en-US"/>
        </w:rPr>
        <w:t>(1799-1870), Scottish surgeon, was born at Edinburgh on the 7th of November 1799. His father was a writer to the signet and a landowner in Fife and Kinross, who lost most of his fortune in attempting to develop the mineral resources of his property. James was sent to the high school at the age of nine, and remained until he was fifteen, when he entered the university. For two years he frequented the arts classes (including botany), and in 1817 began the medical curri</w:t>
        <w:softHyphen/>
        <w:t>culum, devoting himself with particular keenness to chemistry. His chemical experiments led him to the discovery that “ a valuable substance is obtainable from coal tar which has the property of dissolving india-rubber,” and could be used for waterproofing silk and other textile fabrics—an idea which was patented a few months afterwards by Charles Mackintosh, of Glasgow. In the session 1818-1819 Syme became assistant and demonstrator of the dissecting room of Robert Liston, who had started as an extra-mural teacher of anatomy in competition with his old master, Dr John Barclay; in those years he held also resident appointments in the infirmary and the fever hospital, and spent some time in Paris practising dissection and operative surgery. In 1823 Liston handed over to him the whole charge of his anatomy classes, retaining his interest in the school as a pecuniary venture; the arrangement did not work smoothly, and a feud with Liston arose, which did not terminate until twenty years later, when the latter was settled in London. In 1824-1825 he started the Brown Square school of medicine, but again disagreed with his partners in the venture. Announcing his intention to practise surgery only, Syme started a surgical hospital of his own, Minto House hospital, which he carried on from May 1829 to September 1833, with great success as a surgical charity and school of clinical instruction. It was here that he first put into practice his method of clinical teaching, which consisted in having the patients to be operated or prelected upon brought from the ward into a lecture-room or theatre where the students were seated conveniently for seeing and taking notes. His private practice had become very consider</w:t>
        <w:softHyphen/>
        <w:t>able, his position having been assured ever since his amputation at the hip joint in 1823, the first operation of the kindin Scotland. In 1833 he succeeded James Russell as professor of clinical surgery in the university. Syme’s accession to the clinical chair was marked by two important changes in the conditions of it: the first was that the professor should have the care of surgical patients in the infirmary in right of his professorship, and the second, that attendance on his course should be obliga</w:t>
        <w:softHyphen/>
        <w:t xml:space="preserve">tory on all candidates for the medical degree. When Liston removed to London in 1835 Syme became the leading consulting surgeon in Scotland. On Liston’s death in 1847 Syme was offered his vacant chair of clinical surgery at University College, London, and accepted it.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He began practice in London in February 1848; but early in May the same year difficulties with two of his colleagues at Gower Street and a desire to “ escape from animosity and contention ” led him to throw up his appointment. He returned to Edinburgh in July, and was reinstated in his old chair, to which the crown authority had meanwhile found a difficulty in appointing. The judgment of his friends was that “ he was always right in the matter, but often wrong in the manner, of his quarrels.” In 1849 he broached the subject of medical reform in a letter to the lord advocate; in 1854 and 1857 he addressed open letters on the </w:t>
      </w:r>
      <w:r>
        <w:rPr>
          <w:color w:val="000000"/>
          <w:spacing w:val="0"/>
          <w:w w:val="100"/>
          <w:position w:val="0"/>
          <w:shd w:val="clear" w:color="auto" w:fill="auto"/>
          <w:lang w:val="en-US" w:eastAsia="en-US" w:bidi="en-US"/>
        </w:rPr>
        <w:t>same subject to Lord Palmerston'; and in 1858 a Medical Act was passed which largely followed the lines laid down by him</w:t>
        <w:softHyphen/>
        <w:t>self. As a member of the general medical council called into existence by the act, he made considcrable stir in 1868 by an uncompromising statement of doctrines on medical education, which were thought by many to be reactionary; they were, however, merely an attempt to recommend the methods that had been characteristic of Edinburgh teaching since William Cullen’s time—namely, a constant reference of facts to principles, the subordination (but not the sacrifice) of technical details to generalities, and the preference of large professional classes and the “ magnetism of numbers ” to the tutorial system, which he identified with “cramming.” In April 1869 he had a paralytic seizure, and at once resigned his chair; he never recovered his powers, and died near Edinburgh on the 26th of June 1870.</w:t>
      </w:r>
    </w:p>
    <w:p>
      <w:pPr>
        <w:pStyle w:val="Style8"/>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Syme’s surgical writings were numerous, although the terseness of his style and directness of his method saved them from being bulky. In 1831 he published </w:t>
      </w:r>
      <w:r>
        <w:rPr>
          <w:i/>
          <w:iCs/>
          <w:color w:val="000000"/>
          <w:spacing w:val="0"/>
          <w:w w:val="100"/>
          <w:position w:val="0"/>
          <w:shd w:val="clear" w:color="auto" w:fill="auto"/>
          <w:lang w:val="en-US" w:eastAsia="en-US" w:bidi="en-US"/>
        </w:rPr>
        <w:t>A Treatise on the Excision of Diseased Joints</w:t>
      </w:r>
      <w:r>
        <w:rPr>
          <w:color w:val="000000"/>
          <w:spacing w:val="0"/>
          <w:w w:val="100"/>
          <w:position w:val="0"/>
          <w:shd w:val="clear" w:color="auto" w:fill="auto"/>
          <w:lang w:val="en-US" w:eastAsia="en-US" w:bidi="en-US"/>
        </w:rPr>
        <w:t xml:space="preserve"> (the celebrated ankle-joint amputation is known by his name). His </w:t>
      </w:r>
      <w:r>
        <w:rPr>
          <w:i/>
          <w:iCs/>
          <w:color w:val="000000"/>
          <w:spacing w:val="0"/>
          <w:w w:val="100"/>
          <w:position w:val="0"/>
          <w:shd w:val="clear" w:color="auto" w:fill="auto"/>
          <w:lang w:val="en-US" w:eastAsia="en-US" w:bidi="en-US"/>
        </w:rPr>
        <w:t>Principles of Surgery</w:t>
      </w:r>
      <w:r>
        <w:rPr>
          <w:color w:val="000000"/>
          <w:spacing w:val="0"/>
          <w:w w:val="100"/>
          <w:position w:val="0"/>
          <w:shd w:val="clear" w:color="auto" w:fill="auto"/>
          <w:lang w:val="en-US" w:eastAsia="en-US" w:bidi="en-US"/>
        </w:rPr>
        <w:t xml:space="preserve"> (often reprinted) came out a few months later; </w:t>
      </w:r>
      <w:r>
        <w:rPr>
          <w:i/>
          <w:iCs/>
          <w:color w:val="000000"/>
          <w:spacing w:val="0"/>
          <w:w w:val="100"/>
          <w:position w:val="0"/>
          <w:shd w:val="clear" w:color="auto" w:fill="auto"/>
          <w:lang w:val="en-US" w:eastAsia="en-US" w:bidi="en-US"/>
        </w:rPr>
        <w:t>Diseases of the Rectum</w:t>
      </w:r>
      <w:r>
        <w:rPr>
          <w:color w:val="000000"/>
          <w:spacing w:val="0"/>
          <w:w w:val="100"/>
          <w:position w:val="0"/>
          <w:shd w:val="clear" w:color="auto" w:fill="auto"/>
          <w:lang w:val="en-US" w:eastAsia="en-US" w:bidi="en-US"/>
        </w:rPr>
        <w:t xml:space="preserve"> in 1838; </w:t>
      </w:r>
      <w:r>
        <w:rPr>
          <w:i/>
          <w:iCs/>
          <w:color w:val="000000"/>
          <w:spacing w:val="0"/>
          <w:w w:val="100"/>
          <w:position w:val="0"/>
          <w:shd w:val="clear" w:color="auto" w:fill="auto"/>
          <w:lang w:val="en-US" w:eastAsia="en-US" w:bidi="en-US"/>
        </w:rPr>
        <w:t>Stricture of the Urethra and Fistula in Perinea</w:t>
      </w:r>
      <w:r>
        <w:rPr>
          <w:color w:val="000000"/>
          <w:spacing w:val="0"/>
          <w:w w:val="100"/>
          <w:position w:val="0"/>
          <w:shd w:val="clear" w:color="auto" w:fill="auto"/>
          <w:lang w:val="en-US" w:eastAsia="en-US" w:bidi="en-US"/>
        </w:rPr>
        <w:t xml:space="preserve"> in 1849; and </w:t>
      </w:r>
      <w:r>
        <w:rPr>
          <w:i/>
          <w:iCs/>
          <w:color w:val="000000"/>
          <w:spacing w:val="0"/>
          <w:w w:val="100"/>
          <w:position w:val="0"/>
          <w:shd w:val="clear" w:color="auto" w:fill="auto"/>
          <w:lang w:val="en-US" w:eastAsia="en-US" w:bidi="en-US"/>
        </w:rPr>
        <w:t>Excision of the Scapula</w:t>
      </w:r>
      <w:r>
        <w:rPr>
          <w:color w:val="000000"/>
          <w:spacing w:val="0"/>
          <w:w w:val="100"/>
          <w:position w:val="0"/>
          <w:shd w:val="clear" w:color="auto" w:fill="auto"/>
          <w:lang w:val="en-US" w:eastAsia="en-US" w:bidi="en-US"/>
        </w:rPr>
        <w:t xml:space="preserve"> in 1864. In 1848 he collected into a volume, under the title of </w:t>
      </w:r>
      <w:r>
        <w:rPr>
          <w:i/>
          <w:iCs/>
          <w:color w:val="000000"/>
          <w:spacing w:val="0"/>
          <w:w w:val="100"/>
          <w:position w:val="0"/>
          <w:shd w:val="clear" w:color="auto" w:fill="auto"/>
          <w:lang w:val="en-US" w:eastAsia="en-US" w:bidi="en-US"/>
        </w:rPr>
        <w:t>Contributions to the Pathology and Practice of Surgery,</w:t>
      </w:r>
      <w:r>
        <w:rPr>
          <w:color w:val="000000"/>
          <w:spacing w:val="0"/>
          <w:w w:val="100"/>
          <w:position w:val="0"/>
          <w:shd w:val="clear" w:color="auto" w:fill="auto"/>
          <w:lang w:val="en-US" w:eastAsia="en-US" w:bidi="en-US"/>
        </w:rPr>
        <w:t xml:space="preserve"> thirty-one original memoirs published in periodicals from time to time; and in 1861 he issued another volume of </w:t>
      </w:r>
      <w:r>
        <w:rPr>
          <w:i/>
          <w:iCs/>
          <w:color w:val="000000"/>
          <w:spacing w:val="0"/>
          <w:w w:val="100"/>
          <w:position w:val="0"/>
          <w:shd w:val="clear" w:color="auto" w:fill="auto"/>
          <w:lang w:val="en-US" w:eastAsia="en-US" w:bidi="en-US"/>
        </w:rPr>
        <w:t>Observations in Clinical Surgery.</w:t>
      </w:r>
      <w:r>
        <w:rPr>
          <w:color w:val="000000"/>
          <w:spacing w:val="0"/>
          <w:w w:val="100"/>
          <w:position w:val="0"/>
          <w:shd w:val="clear" w:color="auto" w:fill="auto"/>
          <w:lang w:val="en-US" w:eastAsia="en-US" w:bidi="en-US"/>
        </w:rPr>
        <w:t xml:space="preserve"> Syme’s character is not inaptly summed up in the dedication to him by his old pupil, Dr John Brown, of the series of essays </w:t>
      </w:r>
      <w:r>
        <w:rPr>
          <w:i/>
          <w:iCs/>
          <w:color w:val="000000"/>
          <w:spacing w:val="0"/>
          <w:w w:val="100"/>
          <w:position w:val="0"/>
          <w:shd w:val="clear" w:color="auto" w:fill="auto"/>
          <w:lang w:val="en-US" w:eastAsia="en-US" w:bidi="en-US"/>
        </w:rPr>
        <w:t>Locke and Sydenham:</w:t>
      </w:r>
      <w:r>
        <w:rPr>
          <w:color w:val="000000"/>
          <w:spacing w:val="0"/>
          <w:w w:val="100"/>
          <w:position w:val="0"/>
          <w:shd w:val="clear" w:color="auto" w:fill="auto"/>
          <w:lang w:val="en-US" w:eastAsia="en-US" w:bidi="en-US"/>
        </w:rPr>
        <w:t xml:space="preserve"> “ Verax, capax, perspicax, sagax, efficax, tenax.”</w:t>
      </w:r>
    </w:p>
    <w:p>
      <w:pPr>
        <w:pStyle w:val="Style8"/>
        <w:keepNext w:val="0"/>
        <w:keepLines w:val="0"/>
        <w:widowControl w:val="0"/>
        <w:shd w:val="clear" w:color="auto" w:fill="auto"/>
        <w:bidi w:val="0"/>
        <w:spacing w:line="185" w:lineRule="auto"/>
        <w:ind w:left="0" w:firstLine="360"/>
        <w:jc w:val="left"/>
      </w:pPr>
      <w:r>
        <w:rPr>
          <w:color w:val="000000"/>
          <w:spacing w:val="0"/>
          <w:w w:val="100"/>
          <w:position w:val="0"/>
          <w:shd w:val="clear" w:color="auto" w:fill="auto"/>
          <w:lang w:val="en-US" w:eastAsia="en-US" w:bidi="en-US"/>
        </w:rPr>
        <w:t xml:space="preserve">See </w:t>
      </w:r>
      <w:r>
        <w:rPr>
          <w:i/>
          <w:iCs/>
          <w:color w:val="000000"/>
          <w:spacing w:val="0"/>
          <w:w w:val="100"/>
          <w:position w:val="0"/>
          <w:shd w:val="clear" w:color="auto" w:fill="auto"/>
          <w:lang w:val="en-US" w:eastAsia="en-US" w:bidi="en-US"/>
        </w:rPr>
        <w:t>Memorials of the Life of James Syme,</w:t>
      </w:r>
      <w:r>
        <w:rPr>
          <w:color w:val="000000"/>
          <w:spacing w:val="0"/>
          <w:w w:val="100"/>
          <w:position w:val="0"/>
          <w:shd w:val="clear" w:color="auto" w:fill="auto"/>
          <w:lang w:val="en-US" w:eastAsia="en-US" w:bidi="en-US"/>
        </w:rPr>
        <w:t xml:space="preserve"> by R. Paterson, M.D., with portraits (Edinburgh, 1874).</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SYMEON METAPHRASTES,@@</w:t>
      </w:r>
      <w:r>
        <w:rPr>
          <w:b/>
          <w:bCs/>
          <w:color w:val="000000"/>
          <w:spacing w:val="0"/>
          <w:w w:val="100"/>
          <w:position w:val="0"/>
          <w:sz w:val="15"/>
          <w:szCs w:val="15"/>
          <w:shd w:val="clear" w:color="auto" w:fill="auto"/>
          <w:vertAlign w:val="superscript"/>
          <w:lang w:val="en-US" w:eastAsia="en-US" w:bidi="en-US"/>
        </w:rPr>
        <w:t>1</w:t>
      </w:r>
      <w:r>
        <w:rPr>
          <w:b/>
          <w:bCs/>
          <w:color w:val="000000"/>
          <w:spacing w:val="0"/>
          <w:w w:val="100"/>
          <w:position w:val="0"/>
          <w:sz w:val="15"/>
          <w:szCs w:val="15"/>
          <w:shd w:val="clear" w:color="auto" w:fill="auto"/>
          <w:lang w:val="en-US" w:eastAsia="en-US" w:bidi="en-US"/>
        </w:rPr>
        <w:t xml:space="preserve"> </w:t>
      </w:r>
      <w:r>
        <w:rPr>
          <w:color w:val="000000"/>
          <w:spacing w:val="0"/>
          <w:w w:val="100"/>
          <w:position w:val="0"/>
          <w:shd w:val="clear" w:color="auto" w:fill="auto"/>
          <w:lang w:val="en-US" w:eastAsia="en-US" w:bidi="en-US"/>
        </w:rPr>
        <w:t>the most renowned of the Byzantine hagiographers. Scholars have been very much divided as to the period in which he lived, dates ranging from the 9th century to the 14th having been suggested; but it is now generally agreed that he flourished in the second half of the 10th century. Still greater divergences of opinion have existed as to the lives of saints coming from his pen, and here again the solution of the problem has been attained by studying the composition of the great Greek menologies. The menology of Metaphrastes is a collection of lives of saints for the twelve months of the year, easily recognizable among analogous collections, and consisting of about 150 distinct pieces, some of which are taken bodily from older collections, while others have been subjected to a new recension (</w:t>
      </w:r>
      <w:r>
        <w:rPr>
          <w:rFonts w:ascii="Times New Roman" w:eastAsia="Times New Roman" w:hAnsi="Times New Roman" w:cs="Times New Roman"/>
          <w:i/>
          <w:iCs/>
          <w:color w:val="000000"/>
          <w:spacing w:val="0"/>
          <w:w w:val="100"/>
          <w:position w:val="0"/>
          <w:shd w:val="clear" w:color="auto" w:fill="auto"/>
          <w:lang w:val="en-US" w:eastAsia="en-US" w:bidi="en-US"/>
        </w:rPr>
        <w:t>μεταφρασις</w:t>
      </w:r>
      <w:r>
        <w:rPr>
          <w:color w:val="000000"/>
          <w:spacing w:val="0"/>
          <w:w w:val="100"/>
          <w:position w:val="0"/>
          <w:shd w:val="clear" w:color="auto" w:fill="auto"/>
          <w:lang w:val="en-US" w:eastAsia="en-US" w:bidi="en-US"/>
        </w:rPr>
        <w:t xml:space="preserve">). Among other works attributed (though with some uncertainty) to Symeon are 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Chronicle,</w:t>
      </w:r>
      <w:r>
        <w:rPr>
          <w:color w:val="000000"/>
          <w:spacing w:val="0"/>
          <w:w w:val="100"/>
          <w:position w:val="0"/>
          <w:shd w:val="clear" w:color="auto" w:fill="auto"/>
          <w:lang w:val="en-US" w:eastAsia="en-US" w:bidi="en-US"/>
        </w:rPr>
        <w:t xml:space="preserve"> a canonical collection, some letters and poems, and other writings of less importance. Symeon’s great popularity is due more particularly to his collection of lives of saints. About his life we know only very few details. The Greeks honour him as a saint on the 28th of November, and an office has been composed in his honour.</w:t>
      </w:r>
    </w:p>
    <w:p>
      <w:pPr>
        <w:pStyle w:val="Style8"/>
        <w:keepNext w:val="0"/>
        <w:keepLines w:val="0"/>
        <w:widowControl w:val="0"/>
        <w:shd w:val="clear" w:color="auto" w:fill="auto"/>
        <w:tabs>
          <w:tab w:pos="4106" w:val="left"/>
        </w:tabs>
        <w:bidi w:val="0"/>
        <w:ind w:left="0" w:firstLine="360"/>
        <w:jc w:val="left"/>
      </w:pPr>
      <w:r>
        <w:rPr>
          <w:color w:val="000000"/>
          <w:spacing w:val="0"/>
          <w:w w:val="100"/>
          <w:position w:val="0"/>
          <w:shd w:val="clear" w:color="auto" w:fill="auto"/>
          <w:lang w:val="en-US" w:eastAsia="en-US" w:bidi="en-US"/>
        </w:rPr>
        <w:t xml:space="preserve">See L. Allatius, </w:t>
      </w:r>
      <w:r>
        <w:rPr>
          <w:i/>
          <w:iCs/>
          <w:color w:val="000000"/>
          <w:spacing w:val="0"/>
          <w:w w:val="100"/>
          <w:position w:val="0"/>
          <w:shd w:val="clear" w:color="auto" w:fill="auto"/>
          <w:lang w:val="en-US" w:eastAsia="en-US" w:bidi="en-US"/>
        </w:rPr>
        <w:t>De Symeonum scriptis diatriba</w:t>
      </w:r>
      <w:r>
        <w:rPr>
          <w:color w:val="000000"/>
          <w:spacing w:val="0"/>
          <w:w w:val="100"/>
          <w:position w:val="0"/>
          <w:shd w:val="clear" w:color="auto" w:fill="auto"/>
          <w:lang w:val="en-US" w:eastAsia="en-US" w:bidi="en-US"/>
        </w:rPr>
        <w:t xml:space="preserve"> (Paris, 1664); F. </w:t>
      </w:r>
      <w:r>
        <w:rPr>
          <w:color w:val="000000"/>
          <w:spacing w:val="0"/>
          <w:w w:val="100"/>
          <w:position w:val="0"/>
          <w:shd w:val="clear" w:color="auto" w:fill="auto"/>
          <w:lang w:val="de-DE" w:eastAsia="de-DE" w:bidi="de-DE"/>
        </w:rPr>
        <w:t xml:space="preserve">Hirsch, </w:t>
      </w:r>
      <w:r>
        <w:rPr>
          <w:i/>
          <w:iCs/>
          <w:color w:val="000000"/>
          <w:spacing w:val="0"/>
          <w:w w:val="100"/>
          <w:position w:val="0"/>
          <w:shd w:val="clear" w:color="auto" w:fill="auto"/>
          <w:lang w:val="de-DE" w:eastAsia="de-DE" w:bidi="de-DE"/>
        </w:rPr>
        <w:t>Byzantinische Studien,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pp. 303-355 </w:t>
      </w:r>
      <w:r>
        <w:rPr>
          <w:color w:val="000000"/>
          <w:spacing w:val="0"/>
          <w:w w:val="100"/>
          <w:position w:val="0"/>
          <w:shd w:val="clear" w:color="auto" w:fill="auto"/>
          <w:lang w:val="de-DE" w:eastAsia="de-DE" w:bidi="de-DE"/>
        </w:rPr>
        <w:t xml:space="preserve">(Leipzig, </w:t>
      </w:r>
      <w:r>
        <w:rPr>
          <w:color w:val="000000"/>
          <w:spacing w:val="0"/>
          <w:w w:val="100"/>
          <w:position w:val="0"/>
          <w:shd w:val="clear" w:color="auto" w:fill="auto"/>
          <w:lang w:val="en-US" w:eastAsia="en-US" w:bidi="en-US"/>
        </w:rPr>
        <w:t xml:space="preserve">1876); A. Ehrhard,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Legendensammlung </w:t>
      </w:r>
      <w:r>
        <w:rPr>
          <w:i/>
          <w:iCs/>
          <w:color w:val="000000"/>
          <w:spacing w:val="0"/>
          <w:w w:val="100"/>
          <w:position w:val="0"/>
          <w:shd w:val="clear" w:color="auto" w:fill="auto"/>
          <w:lang w:val="en-US" w:eastAsia="en-US" w:bidi="en-US"/>
        </w:rPr>
        <w:t xml:space="preserve">des Symeon Metaphrastes </w:t>
      </w:r>
      <w:r>
        <w:rPr>
          <w:color w:val="000000"/>
          <w:spacing w:val="0"/>
          <w:w w:val="100"/>
          <w:position w:val="0"/>
          <w:shd w:val="clear" w:color="auto" w:fill="auto"/>
          <w:lang w:val="en-US" w:eastAsia="en-US" w:bidi="en-US"/>
        </w:rPr>
        <w:t xml:space="preserve">(Rome, 1897); and in </w:t>
      </w:r>
      <w:r>
        <w:rPr>
          <w:i/>
          <w:iCs/>
          <w:color w:val="000000"/>
          <w:spacing w:val="0"/>
          <w:w w:val="100"/>
          <w:position w:val="0"/>
          <w:shd w:val="clear" w:color="auto" w:fill="auto"/>
          <w:lang w:val="de-DE" w:eastAsia="de-DE" w:bidi="de-DE"/>
        </w:rPr>
        <w:t>Römische Quartalschrift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(1897), pp. 67-205 and 531-553 ; H. Delehaye, </w:t>
      </w:r>
      <w:r>
        <w:rPr>
          <w:i/>
          <w:iCs/>
          <w:color w:val="000000"/>
          <w:spacing w:val="0"/>
          <w:w w:val="100"/>
          <w:position w:val="0"/>
          <w:shd w:val="clear" w:color="auto" w:fill="auto"/>
          <w:lang w:val="fr-FR" w:eastAsia="fr-FR" w:bidi="fr-FR"/>
        </w:rPr>
        <w:t xml:space="preserve">La </w:t>
      </w:r>
      <w:r>
        <w:rPr>
          <w:i/>
          <w:iCs/>
          <w:color w:val="000000"/>
          <w:spacing w:val="0"/>
          <w:w w:val="100"/>
          <w:position w:val="0"/>
          <w:shd w:val="clear" w:color="auto" w:fill="auto"/>
          <w:lang w:val="en-US" w:eastAsia="en-US" w:bidi="en-US"/>
        </w:rPr>
        <w:t xml:space="preserve">Vie </w:t>
      </w:r>
      <w:r>
        <w:rPr>
          <w:i/>
          <w:iCs/>
          <w:color w:val="000000"/>
          <w:spacing w:val="0"/>
          <w:w w:val="100"/>
          <w:position w:val="0"/>
          <w:shd w:val="clear" w:color="auto" w:fill="auto"/>
          <w:lang w:val="fr-FR" w:eastAsia="fr-FR" w:bidi="fr-FR"/>
        </w:rPr>
        <w:t>de S. Paul le jeune et la chrono</w:t>
        <w:softHyphen/>
        <w:t>logie de Métaphraste</w:t>
      </w:r>
      <w:r>
        <w:rPr>
          <w:color w:val="000000"/>
          <w:spacing w:val="0"/>
          <w:w w:val="100"/>
          <w:position w:val="0"/>
          <w:shd w:val="clear" w:color="auto" w:fill="auto"/>
          <w:lang w:val="fr-FR" w:eastAsia="fr-FR" w:bidi="fr-FR"/>
        </w:rPr>
        <w:t xml:space="preserve"> (1893); </w:t>
      </w:r>
      <w:r>
        <w:rPr>
          <w:i/>
          <w:iCs/>
          <w:color w:val="000000"/>
          <w:spacing w:val="0"/>
          <w:w w:val="100"/>
          <w:position w:val="0"/>
          <w:shd w:val="clear" w:color="auto" w:fill="auto"/>
          <w:lang w:val="en-US" w:eastAsia="en-US" w:bidi="en-US"/>
        </w:rPr>
        <w:t xml:space="preserve">Analecta </w:t>
      </w:r>
      <w:r>
        <w:rPr>
          <w:i/>
          <w:iCs/>
          <w:color w:val="000000"/>
          <w:spacing w:val="0"/>
          <w:w w:val="100"/>
          <w:position w:val="0"/>
          <w:shd w:val="clear" w:color="auto" w:fill="auto"/>
          <w:lang w:val="fr-FR" w:eastAsia="fr-FR" w:bidi="fr-FR"/>
        </w:rPr>
        <w:t>Bollandiana,</w:t>
      </w:r>
      <w:r>
        <w:rPr>
          <w:color w:val="000000"/>
          <w:spacing w:val="0"/>
          <w:w w:val="100"/>
          <w:position w:val="0"/>
          <w:shd w:val="clear" w:color="auto" w:fill="auto"/>
          <w:lang w:val="fr-FR" w:eastAsia="fr-FR" w:bidi="fr-FR"/>
        </w:rPr>
        <w:t xml:space="preserve"> xvi. </w:t>
      </w:r>
      <w:r>
        <w:rPr>
          <w:color w:val="000000"/>
          <w:spacing w:val="0"/>
          <w:w w:val="100"/>
          <w:position w:val="0"/>
          <w:shd w:val="clear" w:color="auto" w:fill="auto"/>
          <w:lang w:val="en-US" w:eastAsia="en-US" w:bidi="en-US"/>
        </w:rPr>
        <w:t xml:space="preserve">312-327 and </w:t>
      </w:r>
      <w:r>
        <w:rPr>
          <w:color w:val="000000"/>
          <w:spacing w:val="0"/>
          <w:w w:val="100"/>
          <w:position w:val="0"/>
          <w:shd w:val="clear" w:color="auto" w:fill="auto"/>
          <w:lang w:val="fr-FR" w:eastAsia="fr-FR" w:bidi="fr-FR"/>
        </w:rPr>
        <w:t xml:space="preserve">xvii. </w:t>
      </w:r>
      <w:r>
        <w:rPr>
          <w:color w:val="000000"/>
          <w:spacing w:val="0"/>
          <w:w w:val="100"/>
          <w:position w:val="0"/>
          <w:shd w:val="clear" w:color="auto" w:fill="auto"/>
          <w:lang w:val="en-US" w:eastAsia="en-US" w:bidi="en-US"/>
        </w:rPr>
        <w:t>448-452.</w:t>
        <w:tab/>
      </w:r>
      <w:r>
        <w:rPr>
          <w:color w:val="000000"/>
          <w:spacing w:val="0"/>
          <w:w w:val="100"/>
          <w:position w:val="0"/>
          <w:shd w:val="clear" w:color="auto" w:fill="auto"/>
          <w:lang w:val="fr-FR" w:eastAsia="fr-FR" w:bidi="fr-FR"/>
        </w:rPr>
        <w:t xml:space="preserve">(H. </w:t>
      </w:r>
      <w:r>
        <w:rPr>
          <w:smallCaps/>
          <w:color w:val="000000"/>
          <w:spacing w:val="0"/>
          <w:w w:val="100"/>
          <w:position w:val="0"/>
          <w:shd w:val="clear" w:color="auto" w:fill="auto"/>
          <w:lang w:val="fr-FR" w:eastAsia="fr-FR" w:bidi="fr-FR"/>
        </w:rPr>
        <w:t>De.)</w:t>
      </w:r>
    </w:p>
    <w:p>
      <w:pPr>
        <w:pStyle w:val="Style3"/>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fr-FR" w:eastAsia="fr-FR" w:bidi="fr-FR"/>
        </w:rPr>
        <w:t xml:space="preserve">SYMMACHUS, </w:t>
      </w:r>
      <w:r>
        <w:rPr>
          <w:color w:val="000000"/>
          <w:spacing w:val="0"/>
          <w:w w:val="100"/>
          <w:position w:val="0"/>
          <w:shd w:val="clear" w:color="auto" w:fill="auto"/>
          <w:lang w:val="en-US" w:eastAsia="en-US" w:bidi="en-US"/>
        </w:rPr>
        <w:t xml:space="preserve">pope from 498 to 514, had </w:t>
      </w:r>
      <w:r>
        <w:rPr>
          <w:color w:val="000000"/>
          <w:spacing w:val="0"/>
          <w:w w:val="100"/>
          <w:position w:val="0"/>
          <w:shd w:val="clear" w:color="auto" w:fill="auto"/>
          <w:lang w:val="de-DE" w:eastAsia="de-DE" w:bidi="de-DE"/>
        </w:rPr>
        <w:t xml:space="preserve">Anastasius </w:t>
      </w:r>
      <w:r>
        <w:rPr>
          <w:b/>
          <w:bCs/>
          <w:color w:val="000000"/>
          <w:spacing w:val="0"/>
          <w:w w:val="100"/>
          <w:position w:val="0"/>
          <w:sz w:val="15"/>
          <w:szCs w:val="15"/>
          <w:shd w:val="clear" w:color="auto" w:fill="auto"/>
          <w:lang w:val="de-DE" w:eastAsia="de-DE" w:bidi="de-DE"/>
        </w:rPr>
        <w:t xml:space="preserve">II. </w:t>
      </w:r>
      <w:r>
        <w:rPr>
          <w:color w:val="000000"/>
          <w:spacing w:val="0"/>
          <w:w w:val="100"/>
          <w:position w:val="0"/>
          <w:shd w:val="clear" w:color="auto" w:fill="auto"/>
          <w:lang w:val="en-US" w:eastAsia="en-US" w:bidi="en-US"/>
        </w:rPr>
        <w:t xml:space="preserve">for his predecessor and was himself followed by Hormisdas. He was a native of Sardinia, apparently a convert from paganism, and was in deacon’s orders at the time of his election. The choice was not unanimous, another candidate, </w:t>
      </w:r>
      <w:r>
        <w:rPr>
          <w:color w:val="000000"/>
          <w:spacing w:val="0"/>
          <w:w w:val="100"/>
          <w:position w:val="0"/>
          <w:shd w:val="clear" w:color="auto" w:fill="auto"/>
          <w:lang w:val="de-DE" w:eastAsia="de-DE" w:bidi="de-DE"/>
        </w:rPr>
        <w:t xml:space="preserve">Laurentius, </w:t>
      </w:r>
      <w:r>
        <w:rPr>
          <w:color w:val="000000"/>
          <w:spacing w:val="0"/>
          <w:w w:val="100"/>
          <w:position w:val="0"/>
          <w:shd w:val="clear" w:color="auto" w:fill="auto"/>
          <w:lang w:val="en-US" w:eastAsia="en-US" w:bidi="en-US"/>
        </w:rPr>
        <w:t xml:space="preserve">having the support of a strong Byzantine party; and both competitors were consecrated by their friends, the one in the </w:t>
      </w:r>
      <w:r>
        <w:rPr>
          <w:color w:val="000000"/>
          <w:spacing w:val="0"/>
          <w:w w:val="100"/>
          <w:position w:val="0"/>
          <w:shd w:val="clear" w:color="auto" w:fill="auto"/>
          <w:lang w:val="de-DE" w:eastAsia="de-DE" w:bidi="de-DE"/>
        </w:rPr>
        <w:t xml:space="preserve">Lateran </w:t>
      </w:r>
      <w:r>
        <w:rPr>
          <w:color w:val="000000"/>
          <w:spacing w:val="0"/>
          <w:w w:val="100"/>
          <w:position w:val="0"/>
          <w:shd w:val="clear" w:color="auto" w:fill="auto"/>
          <w:lang w:val="en-US" w:eastAsia="en-US" w:bidi="en-US"/>
        </w:rPr>
        <w:t>Church and the other in that of St Mary, on the 22nd of November 498. A decision was not long afterwards obtained in favour of Symmachus from Theodoric, to whom the dispute had been referred; but peace was not established until 505 or 506, when the Gothic king ordered the Laurentian party to surrender the churches of which they had taken possession. An important incident in the protracted controversy was the</w:t>
      </w:r>
    </w:p>
    <w:p>
      <w:pPr>
        <w:pStyle w:val="Style8"/>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surname is based on the title, </w:t>
      </w:r>
      <w:r>
        <w:rPr>
          <w:i/>
          <w:iCs/>
          <w:color w:val="000000"/>
          <w:spacing w:val="0"/>
          <w:w w:val="100"/>
          <w:position w:val="0"/>
          <w:shd w:val="clear" w:color="auto" w:fill="auto"/>
          <w:lang w:val="en-US" w:eastAsia="en-US" w:bidi="en-US"/>
        </w:rPr>
        <w:t>Melaphrasis,</w:t>
      </w:r>
      <w:r>
        <w:rPr>
          <w:color w:val="000000"/>
          <w:spacing w:val="0"/>
          <w:w w:val="100"/>
          <w:position w:val="0"/>
          <w:shd w:val="clear" w:color="auto" w:fill="auto"/>
          <w:lang w:val="en-US" w:eastAsia="en-US" w:bidi="en-US"/>
        </w:rPr>
        <w:t xml:space="preserve"> of some of his works.</w:t>
      </w:r>
    </w:p>
    <w:sectPr>
      <w:footnotePr>
        <w:pos w:val="pageBottom"/>
        <w:numFmt w:val="decimal"/>
        <w:numRestart w:val="continuous"/>
      </w:footnotePr>
      <w:pgSz w:w="12240" w:h="15840"/>
      <w:pgMar w:top="1233" w:left="1058" w:right="1101" w:bottom="7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9">
    <w:name w:val="Body text (2)_"/>
    <w:basedOn w:val="DefaultParagraphFont"/>
    <w:link w:val="Style8"/>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8">
    <w:name w:val="Body text (2)"/>
    <w:basedOn w:val="Normal"/>
    <w:link w:val="CharStyle9"/>
    <w:pPr>
      <w:widowControl w:val="0"/>
      <w:shd w:val="clear" w:color="auto" w:fill="FFFFFF"/>
      <w:spacing w:line="187" w:lineRule="auto"/>
      <w:ind w:firstLine="18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