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736"/>
      </w:tblGrid>
      <w:tr>
        <w:tc>
          <w:tcPr>
            <w:tcW w:type="dxa" w:w="6912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0" w:type="dxa"/>
              <w:start w:w="0" w:type="dxa"/>
              <w:bottom w:w="25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48"/>
              </w:rPr>
              <w:t>Dehua Lai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4B4B4B"/>
                <w:sz w:val="23"/>
              </w:rPr>
              <w:t>ML Infrastructure Engineer</w:t>
            </w:r>
          </w:p>
        </w:tc>
        <w:tc>
          <w:tcPr>
            <w:tcW w:type="dxa" w:w="273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0" w:type="dxa"/>
              <w:start w:w="0" w:type="dxa"/>
              <w:bottom w:w="25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000000"/>
                <w:sz w:val="18"/>
              </w:rPr>
              <w:t>Greater Seattle Area</w:t>
              <w:br/>
            </w:r>
            <w:r>
              <w:rPr>
                <w:rFonts w:ascii="Aptos" w:hAnsi="Aptos"/>
                <w:b w:val="0"/>
                <w:color w:val="000000"/>
                <w:sz w:val="18"/>
              </w:rPr>
              <w:t>646-530-1988</w:t>
              <w:br/>
            </w:r>
            <w:r>
              <w:rPr>
                <w:rFonts w:ascii="Aptos" w:hAnsi="Aptos"/>
                <w:b w:val="0"/>
                <w:color w:val="000000"/>
                <w:sz w:val="18"/>
              </w:rPr>
              <w:t>dehua.lai@yahoo.com</w:t>
              <w:br/>
            </w:r>
            <w:r>
              <w:rPr>
                <w:rFonts w:ascii="Aptos" w:hAnsi="Aptos"/>
                <w:b w:val="0"/>
                <w:color w:val="000000"/>
                <w:sz w:val="18"/>
              </w:rPr>
              <w:t>linkedin.com/in/dehua-lai</w:t>
              <w:br/>
            </w:r>
          </w:p>
        </w:tc>
      </w:tr>
    </w:tbl>
    <w:p>
      <w:pPr>
        <w:keepNext/>
        <w:spacing w:before="160" w:after="80"/>
        <w:pBdr>
          <w:bottom w:val="single" w:sz="8" w:space="5" w:color="000000"/>
        </w:pBdr>
      </w:pPr>
      <w:r>
        <w:rPr>
          <w:rFonts w:ascii="Aptos" w:hAnsi="Aptos"/>
          <w:b/>
          <w:color w:val="000000"/>
          <w:sz w:val="21"/>
        </w:rPr>
        <w:t>SUMMARY</w:t>
      </w:r>
    </w:p>
    <w:p>
      <w:pPr>
        <w:spacing w:after="40" w:line="245" w:lineRule="auto"/>
      </w:pPr>
      <w:r>
        <w:rPr>
          <w:rFonts w:ascii="Aptos" w:hAnsi="Aptos"/>
          <w:b w:val="0"/>
          <w:color w:val="000000"/>
          <w:sz w:val="19"/>
        </w:rPr>
        <w:t>ML infrastructure engineer with 14+ years of experience building production machine-learning platforms and services. Deep experience in feature stores, online inference, data pipelines, platform reliability, and ML observability, including work on Uber Michelangelo and Oracle Cloud Infrastructure.</w:t>
      </w:r>
    </w:p>
    <w:p>
      <w:pPr>
        <w:keepNext/>
        <w:spacing w:before="160" w:after="80"/>
        <w:pBdr>
          <w:bottom w:val="single" w:sz="8" w:space="5" w:color="000000"/>
        </w:pBdr>
      </w:pPr>
      <w:r>
        <w:rPr>
          <w:rFonts w:ascii="Aptos" w:hAnsi="Aptos"/>
          <w:b/>
          <w:color w:val="000000"/>
          <w:sz w:val="21"/>
        </w:rPr>
        <w:t>CORE EXPERTISE</w:t>
      </w:r>
    </w:p>
    <w:p>
      <w:pPr>
        <w:spacing w:after="40" w:line="245" w:lineRule="auto"/>
      </w:pPr>
      <w:r>
        <w:rPr>
          <w:rFonts w:ascii="Aptos" w:hAnsi="Aptos"/>
          <w:b w:val="0"/>
          <w:color w:val="000000"/>
          <w:sz w:val="18"/>
        </w:rPr>
        <w:t>Feature Stores  |  Online Prediction and Model Inference  |  ML Data Pipelines  |  LLM Observability  |  Spark  |  Cassandra  |  AWS  |  OCI  |  Microservices  |  Continuous Learning Systems</w:t>
      </w:r>
    </w:p>
    <w:p>
      <w:pPr>
        <w:keepNext/>
        <w:spacing w:before="160" w:after="80"/>
        <w:pBdr>
          <w:bottom w:val="single" w:sz="8" w:space="5" w:color="000000"/>
        </w:pBdr>
      </w:pPr>
      <w:r>
        <w:rPr>
          <w:rFonts w:ascii="Aptos" w:hAnsi="Aptos"/>
          <w:b/>
          <w:color w:val="000000"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36"/>
        <w:gridCol w:w="1512"/>
      </w:tblGrid>
      <w:tr>
        <w:tc>
          <w:tcPr>
            <w:tcW w:type="dxa" w:w="813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0000"/>
                <w:sz w:val="21"/>
              </w:rPr>
              <w:t>Oracle Cloud Infrastructure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 | Principal Member of Technical Staff</w:t>
            </w:r>
          </w:p>
        </w:tc>
        <w:tc>
          <w:tcPr>
            <w:tcW w:type="dxa" w:w="1512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000000"/>
                <w:sz w:val="20"/>
              </w:rPr>
              <w:t>2026–Present</w:t>
            </w:r>
          </w:p>
        </w:tc>
      </w:tr>
    </w:tbl>
    <w:p>
      <w:pPr>
        <w:pStyle w:val="ResumeBullet"/>
        <w:keepLines/>
        <w:widowControl/>
      </w:pPr>
      <w:r>
        <w:t>• Led end-to-end development of an AI Cost Control platform that turns raw AI workload telemetry into cost, usage, and intent-level insights.</w:t>
      </w:r>
    </w:p>
    <w:p>
      <w:pPr>
        <w:pStyle w:val="ResumeBullet"/>
        <w:keepLines/>
        <w:widowControl/>
      </w:pPr>
      <w:r>
        <w:t>• Designed a raw-data ingestion pipeline for distributed AI request, usage, and billing sources; built Spark jobs to validate, enrich, and transform high-volume usage events into analytics-ready datasets.</w:t>
      </w:r>
    </w:p>
    <w:p>
      <w:pPr>
        <w:pStyle w:val="ResumeBullet"/>
        <w:keepLines/>
        <w:widowControl/>
      </w:pPr>
      <w:r>
        <w:t>• Developed aggregation pipelines for cost and usage metrics across key dimensions, supporting granular analysis of AI workload consumption.</w:t>
      </w:r>
    </w:p>
    <w:p>
      <w:pPr>
        <w:pStyle w:val="ResumeBullet"/>
        <w:keepLines/>
        <w:widowControl/>
      </w:pPr>
      <w:r>
        <w:t>• Integrated with Smart-Model-Router to classify conversations and request intent, connecting model usage and cost to customer use cases.</w:t>
      </w:r>
    </w:p>
    <w:p>
      <w:pPr>
        <w:pStyle w:val="ResumeBullet"/>
        <w:keepLines/>
        <w:widowControl/>
      </w:pPr>
      <w:r>
        <w:t>• Led delivery of Langfuse-based LLM observability for OCI applications, including tracing and telemetry for prompts, responses, latency, token usage, execution paths, evaluation, and monitoring workflows.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36"/>
        <w:gridCol w:w="1512"/>
      </w:tblGrid>
      <w:tr>
        <w:tc>
          <w:tcPr>
            <w:tcW w:type="dxa" w:w="813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0000"/>
                <w:sz w:val="21"/>
              </w:rPr>
              <w:t>Uber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 | Senior Engineer, AI Platform (Michelangelo)</w:t>
            </w:r>
          </w:p>
        </w:tc>
        <w:tc>
          <w:tcPr>
            <w:tcW w:type="dxa" w:w="1512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000000"/>
                <w:sz w:val="20"/>
              </w:rPr>
              <w:t>2022–2026</w:t>
            </w:r>
          </w:p>
        </w:tc>
      </w:tr>
    </w:tbl>
    <w:p>
      <w:pPr>
        <w:pStyle w:val="ResumeBullet"/>
        <w:keepLines/>
        <w:widowControl/>
      </w:pPr>
      <w:r>
        <w:t>• Evolved the Michelangelo Feature Store into a pluggable, lightweight platform by adding external data-source plugin support without breaking existing user workflows.</w:t>
      </w:r>
    </w:p>
    <w:p>
      <w:pPr>
        <w:pStyle w:val="ResumeBullet"/>
        <w:keepLines/>
        <w:widowControl/>
      </w:pPr>
      <w:r>
        <w:t>• Designed, implemented, and released vector feature support in Palette; reduced CPU utilization from 200% to 125% and request latency from 2.25 seconds to 657 milliseconds in benchmark workloads.</w:t>
      </w:r>
    </w:p>
    <w:p>
      <w:pPr>
        <w:pStyle w:val="ResumeBullet"/>
        <w:keepLines/>
        <w:widowControl/>
      </w:pPr>
      <w:r>
        <w:t>• Drove an immutable Cassandra store initiative to improve production stability and deployment confidence across services.</w:t>
      </w:r>
    </w:p>
    <w:p>
      <w:pPr>
        <w:pStyle w:val="ResumeBullet"/>
        <w:keepLines/>
        <w:widowControl/>
      </w:pPr>
      <w:r>
        <w:t>• Built and launched a feature deprecation service and automated legacy-feature removal with validation scripts, enabling safe lifecycle management without impacting live ML models.</w:t>
      </w:r>
    </w:p>
    <w:p>
      <w:pPr>
        <w:pStyle w:val="ResumeBullet"/>
        <w:keepLines/>
        <w:widowControl/>
      </w:pPr>
      <w:r>
        <w:t>• Designed and deployed a shadow-testing environment for evaluating model performance on live production data in an isolated setting.</w:t>
      </w:r>
    </w:p>
    <w:p>
      <w:pPr>
        <w:pStyle w:val="ResumeBullet"/>
        <w:keepLines/>
        <w:widowControl/>
      </w:pPr>
      <w:r>
        <w:t>• Implemented E2E integration tests for near-real-time features, found and resolved a production bug, and strengthened deployment safety across Online Prediction Services.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36"/>
        <w:gridCol w:w="1512"/>
      </w:tblGrid>
      <w:tr>
        <w:tc>
          <w:tcPr>
            <w:tcW w:type="dxa" w:w="813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0000"/>
                <w:sz w:val="21"/>
              </w:rPr>
              <w:t>Compass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 | Senior Machine Learning Engineer II, Tech Lead</w:t>
            </w:r>
          </w:p>
        </w:tc>
        <w:tc>
          <w:tcPr>
            <w:tcW w:type="dxa" w:w="1512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000000"/>
                <w:sz w:val="20"/>
              </w:rPr>
              <w:t>2020–2022</w:t>
            </w:r>
          </w:p>
        </w:tc>
      </w:tr>
    </w:tbl>
    <w:p>
      <w:pPr>
        <w:pStyle w:val="ResumeBullet"/>
        <w:keepLines/>
        <w:widowControl/>
      </w:pPr>
      <w:r>
        <w:t>• Led a team of 10+ software engineers and ML scientists building the Rekognition microservice for client-facing AI model inference.</w:t>
      </w:r>
    </w:p>
    <w:p>
      <w:pPr>
        <w:pStyle w:val="ResumeBullet"/>
        <w:keepLines/>
        <w:widowControl/>
      </w:pPr>
      <w:r>
        <w:t>• Designed the architecture for Document Intelligence, including document-processing, feature-extraction, and human-review services.</w:t>
      </w:r>
    </w:p>
    <w:p>
      <w:pPr>
        <w:pStyle w:val="ResumeBullet"/>
        <w:keepLines/>
        <w:widowControl/>
      </w:pPr>
      <w:r>
        <w:t>• Provided technical leadership for human-in-the-loop system architecture and AI-powered content-generation products.</w:t>
      </w:r>
    </w:p>
    <w:p>
      <w:pPr>
        <w:pStyle w:val="ResumeBullet"/>
        <w:keepLines/>
        <w:widowControl/>
      </w:pPr>
      <w:r>
        <w:t>• Managed design and development of video-generation systems built from 3D house models.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36"/>
        <w:gridCol w:w="1512"/>
      </w:tblGrid>
      <w:tr>
        <w:tc>
          <w:tcPr>
            <w:tcW w:type="dxa" w:w="813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000000"/>
                <w:sz w:val="21"/>
              </w:rPr>
              <w:t>AiCure</w:t>
            </w:r>
            <w:r>
              <w:rPr>
                <w:rFonts w:ascii="Aptos" w:hAnsi="Aptos"/>
                <w:b w:val="0"/>
                <w:color w:val="000000"/>
                <w:sz w:val="21"/>
              </w:rPr>
              <w:t xml:space="preserve"> | Founding Engineer, Computer Vision and Machine Learning Platform</w:t>
            </w:r>
          </w:p>
        </w:tc>
        <w:tc>
          <w:tcPr>
            <w:tcW w:type="dxa" w:w="1512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tcMar>
              <w:top w:w="40" w:type="dxa"/>
              <w:start w:w="0" w:type="dxa"/>
              <w:bottom w:w="1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000000"/>
                <w:sz w:val="20"/>
              </w:rPr>
              <w:t>2012–2020</w:t>
            </w:r>
          </w:p>
        </w:tc>
      </w:tr>
    </w:tbl>
    <w:p>
      <w:pPr>
        <w:pStyle w:val="ResumeBullet"/>
        <w:keepLines/>
        <w:widowControl/>
      </w:pPr>
      <w:r>
        <w:t>• Designed and integrated a highly parallelized continuous-learning framework on AWS, enabling ML algorithms to improve as new data accumulated.</w:t>
      </w:r>
    </w:p>
    <w:p>
      <w:pPr>
        <w:pStyle w:val="ResumeBullet"/>
        <w:keepLines/>
        <w:widowControl/>
      </w:pPr>
      <w:r>
        <w:t>• Built an auto-annotation tool that reduced human effort in data labeling by 95%.</w:t>
      </w:r>
    </w:p>
    <w:p>
      <w:pPr>
        <w:pStyle w:val="ResumeBullet"/>
        <w:keepLines/>
        <w:widowControl/>
      </w:pPr>
      <w:r>
        <w:t>• Developed computer-vision and audio-analysis systems for object recognition, face recognition, sound detection, OCR, and behavior analysis.</w:t>
      </w:r>
    </w:p>
    <w:p>
      <w:pPr>
        <w:pStyle w:val="ResumeBullet"/>
        <w:keepLines/>
        <w:widowControl/>
      </w:pPr>
      <w:r>
        <w:t>• Built Android and iOS computer-vision applications that became core company products, including remote patient enrollment during the COVID-19 pandemic.</w:t>
      </w:r>
    </w:p>
    <w:p>
      <w:pPr>
        <w:keepNext/>
        <w:spacing w:before="160" w:after="80"/>
        <w:pBdr>
          <w:bottom w:val="single" w:sz="8" w:space="5" w:color="000000"/>
        </w:pBdr>
      </w:pPr>
      <w:r>
        <w:rPr>
          <w:rFonts w:ascii="Aptos" w:hAnsi="Aptos"/>
          <w:b/>
          <w:color w:val="000000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36"/>
        <w:gridCol w:w="1512"/>
      </w:tblGrid>
      <w:tr>
        <w:tc>
          <w:tcPr>
            <w:tcW w:type="dxa" w:w="813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9"/>
              </w:rPr>
              <w:t>Temple University</w:t>
            </w:r>
            <w:r>
              <w:rPr>
                <w:rFonts w:ascii="Aptos" w:hAnsi="Aptos"/>
                <w:b w:val="0"/>
                <w:color w:val="000000"/>
                <w:sz w:val="19"/>
              </w:rPr>
              <w:t xml:space="preserve"> | M.S. in Electrical and Computer Engineering</w:t>
            </w:r>
          </w:p>
        </w:tc>
        <w:tc>
          <w:tcPr>
            <w:tcW w:type="dxa" w:w="1512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spacing w:after="20"/>
              <w:jc w:val="right"/>
            </w:pPr>
            <w:r>
              <w:rPr>
                <w:rFonts w:ascii="Aptos" w:hAnsi="Aptos"/>
                <w:b/>
                <w:color w:val="000000"/>
                <w:sz w:val="19"/>
              </w:rPr>
              <w:t>2009–2011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36"/>
        <w:gridCol w:w="1512"/>
      </w:tblGrid>
      <w:tr>
        <w:tc>
          <w:tcPr>
            <w:tcW w:type="dxa" w:w="8136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9"/>
              </w:rPr>
              <w:t>University of Science and Technology of China</w:t>
            </w:r>
            <w:r>
              <w:rPr>
                <w:rFonts w:ascii="Aptos" w:hAnsi="Aptos"/>
                <w:b w:val="0"/>
                <w:color w:val="000000"/>
                <w:sz w:val="19"/>
              </w:rPr>
              <w:t xml:space="preserve"> | B.S. in Automation</w:t>
            </w:r>
          </w:p>
        </w:tc>
        <w:tc>
          <w:tcPr>
            <w:tcW w:type="dxa" w:w="1512"/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spacing w:after="20"/>
              <w:jc w:val="right"/>
            </w:pPr>
            <w:r>
              <w:rPr>
                <w:rFonts w:ascii="Aptos" w:hAnsi="Aptos"/>
                <w:b/>
                <w:color w:val="000000"/>
                <w:sz w:val="19"/>
              </w:rPr>
              <w:t>2006–2009</w:t>
            </w:r>
          </w:p>
        </w:tc>
      </w:tr>
    </w:tbl>
    <w:p>
      <w:pPr>
        <w:spacing w:before="40" w:after="0"/>
      </w:pPr>
      <w:r>
        <w:rPr>
          <w:rFonts w:ascii="Aptos" w:hAnsi="Aptos"/>
          <w:b/>
          <w:color w:val="000000"/>
          <w:sz w:val="18"/>
        </w:rPr>
        <w:t xml:space="preserve">Patents | </w:t>
      </w:r>
      <w:r>
        <w:rPr>
          <w:rFonts w:ascii="Aptos" w:hAnsi="Aptos"/>
          <w:b w:val="0"/>
          <w:color w:val="000000"/>
          <w:sz w:val="18"/>
        </w:rPr>
        <w:t>Four U.S. patents in computer vision and activity recognition, issued 2013-2016.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widowControl/>
      <w:spacing w:before="14" w:after="14" w:line="242" w:lineRule="auto"/>
      <w:ind w:left="259" w:hanging="216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