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85"/>
        <w:gridCol w:w="3885"/>
        <w:gridCol w:w="3930"/>
        <w:tblGridChange w:id="0">
          <w:tblGrid>
            <w:gridCol w:w="3885"/>
            <w:gridCol w:w="3885"/>
            <w:gridCol w:w="39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right="-585.1181102362187"/>
              <w:rPr>
                <w:rFonts w:ascii="Roboto" w:cs="Roboto" w:eastAsia="Roboto" w:hAnsi="Roboto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48"/>
                <w:szCs w:val="48"/>
                <w:rtl w:val="0"/>
              </w:rPr>
              <w:t xml:space="preserve">Dehua Lai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right="-585.1181102362187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Greater Seattle Area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right="131.69291338582752"/>
              <w:jc w:val="right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:  </w:t>
            </w: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646-530-1988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right="131.69291338582752"/>
              <w:jc w:val="right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 dehua.lai@yahoo.com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right="131.69291338582752"/>
              <w:jc w:val="right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LinkedIn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/in/dehua-lai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E X P E R I E N C 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rtl w:val="0"/>
              </w:rPr>
              <w:t xml:space="preserve">Oracle Cloud Infrastructure (OCI)</w:t>
            </w:r>
            <w:r w:rsidDel="00000000" w:rsidR="00000000" w:rsidRPr="00000000">
              <w:rPr>
                <w:rFonts w:ascii="Roboto Black" w:cs="Roboto Black" w:eastAsia="Roboto Black" w:hAnsi="Roboto Blac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| Principal Member of Technical Staff</w:t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Roboto Black" w:cs="Roboto Black" w:eastAsia="Roboto Black" w:hAnsi="Roboto Black"/>
                <w:sz w:val="18"/>
                <w:szCs w:val="18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sz w:val="18"/>
                <w:szCs w:val="18"/>
                <w:rtl w:val="0"/>
              </w:rPr>
              <w:t xml:space="preserve">JAN 2026 - Present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Led the end-to-end development of an AI Cost Control platform that transforms raw AI workload telemetry into actionable cost, usage, and intent-level insights.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Designed and built a scalable raw data ingestion pipeline to collect and normalize AI request, usage, and billing data from distributed sources.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Developed distributed Spark data-processing jobs to validate, enrich, and transform high-volume usage events into reliable, analytics-ready datasets.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Implemented data aggregation pipelines that generate cost and usage metrics across key dimensions, enabling granular analysis of AI workload consumption.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Integrate with Smart-Model-Router to categorize conversations and classify request intent, connecting model usage and cost to underlying customer use cases.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Partnered with cross-functional engineering and product teams to define data contracts, cost attribution logic, and reporting requirements for AI cost governance.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Led the Langfuse project to deliver standardized LLM observability capabilities for AI applications running on OCI.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Designed integrations for LLM tracing and telemetry collection, enabling teams to inspect prompts, model responses, latency, token usage, and execution paths across multi-step AI workflows.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Enabled evaluation and monitoring workflows through Langfuse, helping teams assess LLM output quality, identify failure patterns, and improve production reliability.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Partnered with platform and application teams to define onboarding, data-governance, and operational requirements for scalable LLM observability.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rtl w:val="0"/>
              </w:rPr>
              <w:t xml:space="preserve">Uber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|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Senior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Engineer - AI Platform (Michelangelo)</w:t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Roboto Black" w:cs="Roboto Black" w:eastAsia="Roboto Black" w:hAnsi="Roboto Black"/>
                <w:sz w:val="20"/>
                <w:szCs w:val="20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sz w:val="20"/>
                <w:szCs w:val="20"/>
                <w:rtl w:val="0"/>
              </w:rPr>
              <w:t xml:space="preserve">MAY 2022 - JAN 2026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Evolved the Michelangelo Feature Store into a pluggable, lightweight platform by adding external data-source plugin support, allowing users to integrate new sources without breaking existing workflows.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Drove the auto onboarding project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 automating the onboarding process for internal users to the Michelangelo Feature Store system, reducing human error and improving operational efficiency.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Led the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strong safe deployment</w:t>
            </w: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 initiative for Michelangelo Feature Store, enhancing system reliability and aligning with Platform Engineering’s strategic deployment safety goals.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Prevented critical incidents by driving the immutable Cassandra store project, improving production stability and increasing deployment confidence across services.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Designed, implemented and released vector feature support in Palette. Showed CPU, latency gain in benchmark: reduced CPU from 200% to 125%, reduced request latency from 2.25k ms to 657 ms.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Automated legacy feature removal, replacing manual workflows with validation scripts to improve operational efficiency and reduce error rates.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Built and launched a feature deprecation service, enabling safe phasing-out of outdated features without impacting live machine learning models.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Designed and deployed a shadow testing environment, allowing engineers and scientists to evaluate model performance using live production data in a safe and isolated setting.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Designed and implemented robust E2E integration tests for NRT features, identifying and resolving a production bug and elevating deployment safety from Basic to Strong; also improved E2E testing coverage across Online Prediction Services.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right="-585.1181102362187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rtl w:val="0"/>
              </w:rPr>
              <w:t xml:space="preserve">Compass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|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Senior Machine Learning Engineer II (Tech Lead)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right"/>
              <w:rPr>
                <w:rFonts w:ascii="Roboto Black" w:cs="Roboto Black" w:eastAsia="Roboto Black" w:hAnsi="Roboto Black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sz w:val="20"/>
                <w:szCs w:val="20"/>
                <w:rtl w:val="0"/>
              </w:rPr>
              <w:t xml:space="preserve">OCT 2020 - MAY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Led a team of 10+ software engineers and machine learning scientists in development of the Rekognition microservice, providing AI model inference service for clients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Managed design and development of the Ultrapan Video auto-generation project, helping agents create ultrapan advertising videos from 3D house models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Designed the overall architecture of the Document-Intelligence project, implementing microservices such as document process service, feature extraction service, human reviewing service, etc.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Managed design and development of the TrueNorth project, helping agents auto-generate text description of a property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Provided technical expertise in the design and implementation of Human-In-The-Loop system architecture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Built the zero-click/one-click video generator project, helping users create AI-powered advertising videos with minimum effort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right="-585.1181102362187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rtl w:val="0"/>
              </w:rPr>
              <w:t xml:space="preserve">AiCure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|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Founding Engineer - Computer Vision &amp; Machine Learning Platform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right"/>
              <w:rPr>
                <w:rFonts w:ascii="Roboto Black" w:cs="Roboto Black" w:eastAsia="Roboto Black" w:hAnsi="Roboto Black"/>
                <w:sz w:val="20"/>
                <w:szCs w:val="20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sz w:val="20"/>
                <w:szCs w:val="20"/>
                <w:rtl w:val="0"/>
              </w:rPr>
              <w:t xml:space="preserve">JUL 2012 - OCT 2020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Managed the overall software development lifecycle and provided leadership and ownership for process improvements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Designed and integrated highly parallelized continuous-learning framework on AWS, allowing machine learning algorithm to keep improving based on accumulated data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Implemented video chat feature in Android and iOS app to enable clinical trials to enroll patients remotely during the COVID-19 pandemic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Implemented a face recognition-based patient registration system which identifies false users, enrolls new users, and detects duplicate enrollments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Trained the multi-pill recognition model which allows users to ingest arbitrary amounts and types of medication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Collaborated with AI scientists to build computer-vision and audio-analyzing algorithm that can understand sophisticated human behaviors in videos and report suspicious behaviors of users when necessary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Built an auto-annotation tool which reduces 95% human effort in data-labeling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Developed, tested and improved algorithms for object recognition, face recognition, sound detection, optical character recognition, etc.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Built sophisticated computer-vision-based mobile applications on Android and iOS platforms, which became the core products of the company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right="-585.1181102362187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E D U C A T I O 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right="-585.1181102362187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Temple University |</w:t>
            </w: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M.S. in Electrical and Computer Engineering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2009 - 2011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right="-585.1181102362187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University of Science and Technology of China |</w:t>
            </w: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B.S. in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2006 - 2009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right="-585.1181102362187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P A T E N T 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Method and Apparatus for Recognition of Inhaler Actuation, US20130063579A1, filed Nov. 12, 2012, issued Mar. 14, 2013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Apparatus and Method for Recognition of Suspicious Activities, US20140184772A1, filed Mar. 14, 2013, issued Jul. 3, 2014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Apparatus and Method for Recognition of Medication Administration Indicator, US9317916B1, filed Apr. 22, 2013, issued Apr. 19, 2016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Method and Apparatus for Recognition of Patient Activity, US20160196503A1, filed Jan. 6, 2015, issued Jul. 7 2016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3.46456692913387" w:top="85.03937007874016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RobotoLight-boldItalic.ttf"/><Relationship Id="rId9" Type="http://schemas.openxmlformats.org/officeDocument/2006/relationships/font" Target="fonts/RobotoLigh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obotoLight-regular.ttf"/><Relationship Id="rId8" Type="http://schemas.openxmlformats.org/officeDocument/2006/relationships/font" Target="fonts/Roboto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