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0E2C0" w14:textId="77777777" w:rsidR="00643992" w:rsidRDefault="00643992">
      <w:pPr>
        <w:jc w:val="center"/>
      </w:pPr>
      <w:r>
        <w:rPr>
          <w:noProof/>
        </w:rPr>
        <w:drawing>
          <wp:inline distT="0" distB="0" distL="0" distR="0" wp14:anchorId="12A9D1CB" wp14:editId="17E20A81">
            <wp:extent cx="638175" cy="733425"/>
            <wp:effectExtent l="0" t="0" r="9525" b="9525"/>
            <wp:docPr id="1" name="Picture 2" descr="aurora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rorauniversity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 cy="733425"/>
                    </a:xfrm>
                    <a:prstGeom prst="rect">
                      <a:avLst/>
                    </a:prstGeom>
                    <a:noFill/>
                    <a:ln>
                      <a:noFill/>
                    </a:ln>
                  </pic:spPr>
                </pic:pic>
              </a:graphicData>
            </a:graphic>
          </wp:inline>
        </w:drawing>
      </w:r>
    </w:p>
    <w:p w14:paraId="7D57989E" w14:textId="6DBB505E" w:rsidR="00A40DE1" w:rsidRDefault="00643992">
      <w:pPr>
        <w:jc w:val="center"/>
      </w:pPr>
      <w:r>
        <w:t>AURORA UNIVERSITY</w:t>
      </w:r>
    </w:p>
    <w:p w14:paraId="2486E06F" w14:textId="6056B766" w:rsidR="00643992" w:rsidRDefault="00CD4C3B">
      <w:pPr>
        <w:jc w:val="center"/>
      </w:pPr>
      <w:r>
        <w:t xml:space="preserve">CSC </w:t>
      </w:r>
      <w:r w:rsidR="00643992">
        <w:t>ACADEMIC PROGRAM REVIEW</w:t>
      </w:r>
      <w:r w:rsidR="00643992">
        <w:br/>
      </w:r>
      <w:r>
        <w:t>PREPARED BY DAVID A. LASH</w:t>
      </w:r>
    </w:p>
    <w:p w14:paraId="541A068F" w14:textId="1A2B41AD" w:rsidR="00CD4C3B" w:rsidRDefault="00CD4C3B" w:rsidP="00CD4C3B">
      <w:pPr>
        <w:jc w:val="center"/>
      </w:pPr>
      <w:r>
        <w:t>JULY 1, 2021</w:t>
      </w:r>
    </w:p>
    <w:p w14:paraId="79C6A0F6" w14:textId="77777777" w:rsidR="00CD4C3B" w:rsidRDefault="00CD4C3B">
      <w:pPr>
        <w:jc w:val="center"/>
      </w:pPr>
    </w:p>
    <w:p w14:paraId="655CBFB0" w14:textId="77777777" w:rsidR="00A40DE1" w:rsidRDefault="00A40DE1">
      <w:pPr>
        <w:jc w:val="center"/>
      </w:pPr>
    </w:p>
    <w:p w14:paraId="3232BA13" w14:textId="77777777" w:rsidR="00E33CD3" w:rsidRDefault="00E33CD3">
      <w:pPr>
        <w:jc w:val="both"/>
        <w:rPr>
          <w:u w:val="single"/>
        </w:rPr>
      </w:pPr>
    </w:p>
    <w:p w14:paraId="5F193D66" w14:textId="77777777" w:rsidR="00F422BF" w:rsidRDefault="00F422BF">
      <w:pPr>
        <w:jc w:val="both"/>
      </w:pPr>
      <w:r>
        <w:rPr>
          <w:u w:val="single"/>
        </w:rPr>
        <w:t>Executive Summary</w:t>
      </w:r>
    </w:p>
    <w:p w14:paraId="66554B5E" w14:textId="77777777" w:rsidR="00F422BF" w:rsidRDefault="00F422BF">
      <w:pPr>
        <w:jc w:val="both"/>
      </w:pPr>
    </w:p>
    <w:p w14:paraId="713942C4" w14:textId="1C4E402C" w:rsidR="00F422BF" w:rsidRPr="00F422BF" w:rsidRDefault="004C042C">
      <w:pPr>
        <w:jc w:val="both"/>
      </w:pPr>
      <w:r>
        <w:t>One-page</w:t>
      </w:r>
      <w:r w:rsidR="00F422BF">
        <w:t xml:space="preserve"> Executive Summary</w:t>
      </w:r>
      <w:r w:rsidR="00AA0B2E">
        <w:t xml:space="preserve"> (written last)</w:t>
      </w:r>
    </w:p>
    <w:p w14:paraId="3CC34F71" w14:textId="77777777" w:rsidR="00F422BF" w:rsidRDefault="00F422BF">
      <w:pPr>
        <w:jc w:val="both"/>
        <w:rPr>
          <w:u w:val="single"/>
        </w:rPr>
      </w:pPr>
    </w:p>
    <w:p w14:paraId="2BCB6DCE" w14:textId="77777777" w:rsidR="00A40DE1" w:rsidRDefault="00A40DE1">
      <w:pPr>
        <w:jc w:val="both"/>
        <w:rPr>
          <w:u w:val="single"/>
        </w:rPr>
      </w:pPr>
      <w:r>
        <w:rPr>
          <w:u w:val="single"/>
        </w:rPr>
        <w:t xml:space="preserve">Introduction </w:t>
      </w:r>
    </w:p>
    <w:p w14:paraId="364043D0" w14:textId="77777777" w:rsidR="00A40DE1" w:rsidRDefault="00A40DE1">
      <w:pPr>
        <w:jc w:val="both"/>
        <w:rPr>
          <w:u w:val="single"/>
        </w:rPr>
      </w:pPr>
    </w:p>
    <w:p w14:paraId="4DD8758E" w14:textId="77777777" w:rsidR="00917BA8" w:rsidRDefault="00917BA8" w:rsidP="00917BA8">
      <w:pPr>
        <w:jc w:val="both"/>
      </w:pPr>
      <w:r>
        <w:t xml:space="preserve">Aurora University periodically reviews its academic programs to confirm that they support its mission as “an inclusive community dedicated to the transformative power of learning…[that encourages] undergraduate and graduate students to discover what it takes to build meaningful and examined lives…[and that empowers them] to achieve lasting personal and professional success.” The University has established three goals of program review: </w:t>
      </w:r>
    </w:p>
    <w:p w14:paraId="0422A174" w14:textId="77777777" w:rsidR="00917BA8" w:rsidRDefault="00917BA8" w:rsidP="00917BA8">
      <w:pPr>
        <w:jc w:val="both"/>
      </w:pPr>
    </w:p>
    <w:p w14:paraId="3F98A2F3" w14:textId="77777777" w:rsidR="00917BA8" w:rsidRDefault="00917BA8" w:rsidP="00917BA8">
      <w:pPr>
        <w:jc w:val="both"/>
      </w:pPr>
      <w:r>
        <w:tab/>
        <w:t xml:space="preserve">1. To evaluate program quality </w:t>
      </w:r>
    </w:p>
    <w:p w14:paraId="5DB02CE0" w14:textId="77777777" w:rsidR="00917BA8" w:rsidRDefault="00917BA8" w:rsidP="00917BA8">
      <w:pPr>
        <w:jc w:val="both"/>
      </w:pPr>
      <w:r>
        <w:tab/>
        <w:t xml:space="preserve">2. To identify opportunities for program development </w:t>
      </w:r>
    </w:p>
    <w:p w14:paraId="4AB67D18" w14:textId="77777777" w:rsidR="00917BA8" w:rsidRDefault="00917BA8" w:rsidP="00917BA8">
      <w:pPr>
        <w:jc w:val="both"/>
      </w:pPr>
      <w:r>
        <w:tab/>
        <w:t>3. To reflect on a program’s growth and its place within the university community</w:t>
      </w:r>
    </w:p>
    <w:p w14:paraId="55E9D4E3" w14:textId="77777777" w:rsidR="00917BA8" w:rsidRDefault="00917BA8" w:rsidP="00917BA8">
      <w:pPr>
        <w:jc w:val="both"/>
      </w:pPr>
    </w:p>
    <w:p w14:paraId="0698FA23" w14:textId="48762060" w:rsidR="00917BA8" w:rsidRDefault="00917BA8" w:rsidP="00917BA8">
      <w:pPr>
        <w:jc w:val="both"/>
      </w:pPr>
      <w:r>
        <w:t xml:space="preserve">It is within this context that this document reviews the state of the university’s undergraduate political science and public policy (hereafter PSC) program. Particular attention is paid to how curricular changes instituted during the 2017 – 2018 academic year affected the program’s historical structure and learning outcomes, its alignment with the university’s mission and objectives, and the quality of its course offerings. When appropriate, the information contained in this review is drawn verbatim from prior years’ assessment reports and plans. To further aid in the review process, the program is compared to similar programs offered at North Central College, St Xavier University, and St Francis University. </w:t>
      </w:r>
    </w:p>
    <w:p w14:paraId="30AF0678" w14:textId="77777777" w:rsidR="00A40DE1" w:rsidRDefault="00A40DE1"/>
    <w:p w14:paraId="4597F4AC" w14:textId="77777777" w:rsidR="00A40DE1" w:rsidRDefault="00A40DE1">
      <w:pPr>
        <w:rPr>
          <w:u w:val="single"/>
        </w:rPr>
      </w:pPr>
      <w:r>
        <w:rPr>
          <w:u w:val="single"/>
        </w:rPr>
        <w:t>Procedures Performed</w:t>
      </w:r>
    </w:p>
    <w:p w14:paraId="4F32B223" w14:textId="77777777" w:rsidR="00966255" w:rsidRDefault="00966255" w:rsidP="00966255"/>
    <w:p w14:paraId="0B96BC68" w14:textId="5840F638" w:rsidR="00966255" w:rsidRDefault="00966255" w:rsidP="00966255">
      <w:r>
        <w:t>The following procedures were implemented to perform this evaluation:</w:t>
      </w:r>
    </w:p>
    <w:p w14:paraId="30C69EED" w14:textId="77777777" w:rsidR="00966255" w:rsidRDefault="00966255" w:rsidP="00966255"/>
    <w:p w14:paraId="4ECBA5F7" w14:textId="38456954" w:rsidR="00966255" w:rsidRDefault="00966255" w:rsidP="00966255">
      <w:pPr>
        <w:pStyle w:val="ListParagraph"/>
        <w:numPr>
          <w:ilvl w:val="0"/>
          <w:numId w:val="9"/>
        </w:numPr>
      </w:pPr>
      <w:r>
        <w:t xml:space="preserve">Research into the evolution of the </w:t>
      </w:r>
      <w:r w:rsidR="006B0347">
        <w:t>CSC</w:t>
      </w:r>
      <w:r>
        <w:t xml:space="preserve"> program over the past decade.</w:t>
      </w:r>
    </w:p>
    <w:p w14:paraId="75AAD396" w14:textId="77777777" w:rsidR="00966255" w:rsidRDefault="00966255" w:rsidP="00966255">
      <w:pPr>
        <w:pStyle w:val="ListParagraph"/>
        <w:numPr>
          <w:ilvl w:val="0"/>
          <w:numId w:val="9"/>
        </w:numPr>
      </w:pPr>
      <w:r>
        <w:t>Informal appraisal of program resources and structure, course offerings, and instructional quality via conversations with key stakeholders, including students, faculty, library representatives, and the Dean of the Dunham School of Business and Public Policy.</w:t>
      </w:r>
    </w:p>
    <w:p w14:paraId="3584200C" w14:textId="77777777" w:rsidR="00966255" w:rsidRDefault="00966255" w:rsidP="00966255">
      <w:pPr>
        <w:pStyle w:val="ListParagraph"/>
        <w:numPr>
          <w:ilvl w:val="0"/>
          <w:numId w:val="9"/>
        </w:numPr>
      </w:pPr>
      <w:r>
        <w:t>Assessment of Smart Evals and other student feedback periodically gathered by faculty.</w:t>
      </w:r>
    </w:p>
    <w:p w14:paraId="28CE3E42" w14:textId="5793CB25" w:rsidR="00966255" w:rsidRDefault="00966255" w:rsidP="00966255">
      <w:pPr>
        <w:pStyle w:val="ListParagraph"/>
        <w:numPr>
          <w:ilvl w:val="0"/>
          <w:numId w:val="9"/>
        </w:numPr>
      </w:pPr>
      <w:r>
        <w:lastRenderedPageBreak/>
        <w:t xml:space="preserve">Review </w:t>
      </w:r>
      <w:r w:rsidR="006B0347">
        <w:t xml:space="preserve">of three prior assessment </w:t>
      </w:r>
      <w:r>
        <w:t xml:space="preserve">reports, as well as feedback provided by the university assessment committee. </w:t>
      </w:r>
    </w:p>
    <w:p w14:paraId="0B3731E9" w14:textId="77777777" w:rsidR="00966255" w:rsidRDefault="00966255" w:rsidP="00966255">
      <w:pPr>
        <w:pStyle w:val="ListParagraph"/>
        <w:numPr>
          <w:ilvl w:val="0"/>
          <w:numId w:val="9"/>
        </w:numPr>
      </w:pPr>
      <w:r>
        <w:t>Evaluation of enrollment trends provided by University Analytics.</w:t>
      </w:r>
    </w:p>
    <w:p w14:paraId="5F827981" w14:textId="77777777" w:rsidR="00966255" w:rsidRDefault="00966255" w:rsidP="00966255">
      <w:pPr>
        <w:pStyle w:val="ListParagraph"/>
        <w:numPr>
          <w:ilvl w:val="0"/>
          <w:numId w:val="9"/>
        </w:numPr>
      </w:pPr>
      <w:r>
        <w:t>Consideration of career outcome data compiled by the Bureau of Labor Statistics.</w:t>
      </w:r>
    </w:p>
    <w:p w14:paraId="282C0274" w14:textId="77777777" w:rsidR="00946B0D" w:rsidRDefault="00966255" w:rsidP="00946B0D">
      <w:pPr>
        <w:jc w:val="both"/>
      </w:pPr>
      <w:r>
        <w:t xml:space="preserve">Comparison with similar programs offered at </w:t>
      </w:r>
      <w:r w:rsidR="00946B0D">
        <w:t xml:space="preserve">North Central College, St Xavier University, and St Francis University. </w:t>
      </w:r>
    </w:p>
    <w:p w14:paraId="2B7C3D1B" w14:textId="77117A33" w:rsidR="00966255" w:rsidRDefault="00966255" w:rsidP="00946B0D">
      <w:pPr>
        <w:pStyle w:val="ListParagraph"/>
      </w:pPr>
    </w:p>
    <w:p w14:paraId="3E1A21FD" w14:textId="77777777" w:rsidR="00966255" w:rsidRDefault="00966255"/>
    <w:p w14:paraId="73974CD2" w14:textId="77777777" w:rsidR="00A40DE1" w:rsidRDefault="00A40DE1"/>
    <w:p w14:paraId="01CA924C" w14:textId="2C5F14A2" w:rsidR="00AA0B2E" w:rsidRDefault="00EF06B0">
      <w:pPr>
        <w:pStyle w:val="Heading1"/>
        <w:keepNext w:val="0"/>
      </w:pPr>
      <w:r>
        <w:t>Areas of Focus</w:t>
      </w:r>
      <w:r w:rsidR="00AA0B2E">
        <w:t>/</w:t>
      </w:r>
      <w:r>
        <w:t>Findings</w:t>
      </w:r>
      <w:r w:rsidR="004C49D6">
        <w:t xml:space="preserve"> </w:t>
      </w:r>
    </w:p>
    <w:p w14:paraId="0E6B09A1" w14:textId="56A75687" w:rsidR="00A40DE1" w:rsidRPr="004C49D6" w:rsidRDefault="00AA0B2E">
      <w:pPr>
        <w:pStyle w:val="Heading1"/>
        <w:keepNext w:val="0"/>
        <w:rPr>
          <w:u w:val="none"/>
        </w:rPr>
      </w:pPr>
      <w:r w:rsidRPr="007A2D2E">
        <w:rPr>
          <w:i/>
          <w:u w:val="none"/>
        </w:rPr>
        <w:t>The Program Review Materials File will be compiled and referenced to complete this section of the Academic Program Review Report.  Essential components are listed in</w:t>
      </w:r>
      <w:r w:rsidR="00343110">
        <w:rPr>
          <w:i/>
          <w:u w:val="none"/>
        </w:rPr>
        <w:t xml:space="preserve"> the Appendix</w:t>
      </w:r>
      <w:r w:rsidRPr="007A2D2E">
        <w:rPr>
          <w:i/>
          <w:u w:val="none"/>
        </w:rPr>
        <w:t xml:space="preserve"> of the Guidelines.</w:t>
      </w:r>
    </w:p>
    <w:p w14:paraId="3B5D2A59" w14:textId="77777777" w:rsidR="00A40DE1" w:rsidRDefault="00A40DE1">
      <w:pPr>
        <w:pStyle w:val="BodyTextIndent"/>
        <w:ind w:left="0"/>
      </w:pPr>
    </w:p>
    <w:p w14:paraId="52F5F09C" w14:textId="4F4A9BDE" w:rsidR="00343110" w:rsidRDefault="009A6AC6" w:rsidP="00343110">
      <w:pPr>
        <w:pStyle w:val="BodyTextIndent"/>
        <w:numPr>
          <w:ilvl w:val="0"/>
          <w:numId w:val="8"/>
        </w:numPr>
      </w:pPr>
      <w:r>
        <w:t>Program Description</w:t>
      </w:r>
    </w:p>
    <w:p w14:paraId="003DC5C9" w14:textId="6B3AAB7E" w:rsidR="00D00514" w:rsidRDefault="00DD5C10" w:rsidP="00D00514">
      <w:pPr>
        <w:pStyle w:val="BodyTextIndent"/>
        <w:rPr>
          <w:b/>
        </w:rPr>
      </w:pPr>
      <w:r w:rsidRPr="00D00514">
        <w:t xml:space="preserve">As described in the university catalog, the </w:t>
      </w:r>
      <w:r w:rsidR="00D00514" w:rsidRPr="00D00514">
        <w:t xml:space="preserve"> Aurora University Computer Science program </w:t>
      </w:r>
      <w:r w:rsidR="00946B0D">
        <w:br/>
        <w:t>“</w:t>
      </w:r>
      <w:r w:rsidR="00D00514">
        <w:t>include</w:t>
      </w:r>
      <w:r w:rsidR="00946B0D">
        <w:t>s</w:t>
      </w:r>
      <w:r w:rsidR="00D00514">
        <w:t xml:space="preserve"> computer architecture, software engineering, database systems, algorithm design and analysis, multiple language study, and web development.</w:t>
      </w:r>
      <w:r w:rsidR="00D00514">
        <w:rPr>
          <w:i/>
        </w:rPr>
        <w:t xml:space="preserve"> “ </w:t>
      </w:r>
      <w:r w:rsidR="00D00514">
        <w:rPr>
          <w:b/>
        </w:rPr>
        <w:br/>
      </w:r>
    </w:p>
    <w:p w14:paraId="432A0824" w14:textId="392AD8EB" w:rsidR="00D00514" w:rsidRDefault="00D00514" w:rsidP="00D00514">
      <w:pPr>
        <w:pStyle w:val="BodyTextIndent"/>
      </w:pPr>
      <w:r>
        <w:t xml:space="preserve">The program is intended </w:t>
      </w:r>
    </w:p>
    <w:p w14:paraId="01CC1E4F" w14:textId="1F35571F" w:rsidR="00DD5C10" w:rsidRPr="00DD5C10" w:rsidRDefault="00D00514" w:rsidP="00D00514">
      <w:pPr>
        <w:pStyle w:val="BodyTextIndent"/>
        <w:rPr>
          <w:i/>
        </w:rPr>
      </w:pPr>
      <w:r>
        <w:t>“to provide students experience with current technologies in order to prepare them for the changing expectations of employers, or as strong preparation for graduate study in computer science. “</w:t>
      </w:r>
    </w:p>
    <w:p w14:paraId="0EB3677D" w14:textId="649E39F2" w:rsidR="00DD5C10" w:rsidRDefault="00DD5C10" w:rsidP="00DD5C10">
      <w:pPr>
        <w:pStyle w:val="BodyTextIndent"/>
        <w:rPr>
          <w:i/>
        </w:rPr>
      </w:pPr>
    </w:p>
    <w:p w14:paraId="2521D946" w14:textId="453D2770" w:rsidR="00471EE3" w:rsidRPr="00DD5C10" w:rsidRDefault="00471EE3" w:rsidP="00DD5C10">
      <w:pPr>
        <w:pStyle w:val="BodyTextIndent"/>
        <w:rPr>
          <w:i/>
        </w:rPr>
      </w:pPr>
      <w:r>
        <w:rPr>
          <w:i/>
        </w:rPr>
        <w:t>Program Changes</w:t>
      </w:r>
    </w:p>
    <w:p w14:paraId="1395CF07" w14:textId="43BB40F1" w:rsidR="00DD5C10" w:rsidRPr="00471EE3" w:rsidRDefault="001C2F70" w:rsidP="00DD5C10">
      <w:pPr>
        <w:pStyle w:val="BodyTextIndent"/>
      </w:pPr>
      <w:r w:rsidRPr="00471EE3">
        <w:t>Over the past 10</w:t>
      </w:r>
      <w:r w:rsidR="008A7745" w:rsidRPr="00471EE3">
        <w:t xml:space="preserve"> years the CSC program has had the following significant changes: </w:t>
      </w:r>
    </w:p>
    <w:p w14:paraId="7533F4E4" w14:textId="77777777" w:rsidR="00DD5C10" w:rsidRPr="00DD5C10" w:rsidRDefault="00DD5C10" w:rsidP="00DD5C10">
      <w:pPr>
        <w:pStyle w:val="BodyTextIndent"/>
        <w:rPr>
          <w:i/>
        </w:rPr>
      </w:pPr>
    </w:p>
    <w:p w14:paraId="6546B541" w14:textId="42AE63E8" w:rsidR="00DD5C10" w:rsidRDefault="00992A0A" w:rsidP="00DD5C10">
      <w:pPr>
        <w:pStyle w:val="BodyTextIndent"/>
        <w:numPr>
          <w:ilvl w:val="0"/>
          <w:numId w:val="10"/>
        </w:numPr>
      </w:pPr>
      <w:r>
        <w:rPr>
          <w:b/>
          <w:i/>
        </w:rPr>
        <w:t>Growth</w:t>
      </w:r>
      <w:r w:rsidRPr="00992A0A">
        <w:rPr>
          <w:b/>
          <w:i/>
        </w:rPr>
        <w:t xml:space="preserve"> -</w:t>
      </w:r>
      <w:r>
        <w:t xml:space="preserve"> </w:t>
      </w:r>
      <w:r w:rsidR="001C2F70">
        <w:t xml:space="preserve">In that 10 years, </w:t>
      </w:r>
      <w:r w:rsidR="0094204A">
        <w:t>the CSC program has seen a rapid</w:t>
      </w:r>
      <w:r w:rsidR="001C2F70">
        <w:t xml:space="preserve"> rate of growth. For example, during </w:t>
      </w:r>
      <w:r w:rsidR="0094204A">
        <w:t>the F2010 Aurora University offered</w:t>
      </w:r>
      <w:r w:rsidR="001C2F70">
        <w:t xml:space="preserve"> 4 CSC courses. During F2020, we offered 13. </w:t>
      </w:r>
      <w:r w:rsidR="0094204A">
        <w:t xml:space="preserve">The course offering delta </w:t>
      </w:r>
      <w:r w:rsidR="001C2F70">
        <w:t>a</w:t>
      </w:r>
      <w:r w:rsidR="0094204A">
        <w:t>ligns with</w:t>
      </w:r>
      <w:r w:rsidR="001C2F70">
        <w:t xml:space="preserve"> enrollment data </w:t>
      </w:r>
      <w:r w:rsidR="0094204A">
        <w:t>that s</w:t>
      </w:r>
      <w:r w:rsidR="00BE2990">
        <w:t xml:space="preserve">how </w:t>
      </w:r>
      <w:r w:rsidR="00BE2990" w:rsidRPr="00BE2990">
        <w:rPr>
          <w:b/>
          <w:i/>
        </w:rPr>
        <w:t>a</w:t>
      </w:r>
      <w:r w:rsidR="0094204A" w:rsidRPr="00BE2990">
        <w:rPr>
          <w:b/>
          <w:i/>
        </w:rPr>
        <w:t xml:space="preserve"> </w:t>
      </w:r>
      <w:r w:rsidR="00471EE3">
        <w:rPr>
          <w:b/>
          <w:i/>
        </w:rPr>
        <w:t>47</w:t>
      </w:r>
      <w:r w:rsidR="00BE2990" w:rsidRPr="00BE2990">
        <w:rPr>
          <w:b/>
          <w:i/>
        </w:rPr>
        <w:t>% growth rate from F2015-F2020 with an average</w:t>
      </w:r>
      <w:r w:rsidR="00BE2990">
        <w:t xml:space="preserve"> </w:t>
      </w:r>
      <w:r w:rsidR="001C2F70" w:rsidRPr="00BE2990">
        <w:rPr>
          <w:b/>
          <w:i/>
        </w:rPr>
        <w:t>8.6</w:t>
      </w:r>
      <w:r w:rsidR="0094204A" w:rsidRPr="00BE2990">
        <w:rPr>
          <w:b/>
          <w:i/>
        </w:rPr>
        <w:t>%</w:t>
      </w:r>
      <w:r w:rsidR="001C2F70" w:rsidRPr="00BE2990">
        <w:rPr>
          <w:b/>
          <w:i/>
        </w:rPr>
        <w:t xml:space="preserve"> growth rate</w:t>
      </w:r>
      <w:r w:rsidR="00BE2990">
        <w:t xml:space="preserve"> </w:t>
      </w:r>
      <w:r w:rsidR="001C2F70">
        <w:t>See table 1 below:</w:t>
      </w:r>
    </w:p>
    <w:p w14:paraId="3661DB0B" w14:textId="631CF955" w:rsidR="001C2F70" w:rsidRDefault="001C2F70" w:rsidP="001C2F70">
      <w:pPr>
        <w:pStyle w:val="BodyTextIndent"/>
        <w:ind w:left="1440"/>
      </w:pPr>
    </w:p>
    <w:p w14:paraId="69961588" w14:textId="77777777" w:rsidR="001C2F70" w:rsidRDefault="001C2F70" w:rsidP="001C2F70">
      <w:pPr>
        <w:pStyle w:val="BodyTextIndent"/>
        <w:ind w:left="1440"/>
      </w:pPr>
    </w:p>
    <w:tbl>
      <w:tblPr>
        <w:tblW w:w="8091" w:type="dxa"/>
        <w:tblInd w:w="1260" w:type="dxa"/>
        <w:tblLook w:val="04A0" w:firstRow="1" w:lastRow="0" w:firstColumn="1" w:lastColumn="0" w:noHBand="0" w:noVBand="1"/>
      </w:tblPr>
      <w:tblGrid>
        <w:gridCol w:w="1243"/>
        <w:gridCol w:w="768"/>
        <w:gridCol w:w="1380"/>
        <w:gridCol w:w="1520"/>
        <w:gridCol w:w="1041"/>
        <w:gridCol w:w="1041"/>
        <w:gridCol w:w="1098"/>
      </w:tblGrid>
      <w:tr w:rsidR="001C2F70" w14:paraId="20D139CD" w14:textId="77777777" w:rsidTr="0094204A">
        <w:trPr>
          <w:trHeight w:val="300"/>
        </w:trPr>
        <w:tc>
          <w:tcPr>
            <w:tcW w:w="8091" w:type="dxa"/>
            <w:gridSpan w:val="7"/>
            <w:tcBorders>
              <w:top w:val="nil"/>
              <w:left w:val="nil"/>
              <w:bottom w:val="nil"/>
              <w:right w:val="nil"/>
            </w:tcBorders>
            <w:shd w:val="clear" w:color="auto" w:fill="auto"/>
            <w:vAlign w:val="center"/>
            <w:hideMark/>
          </w:tcPr>
          <w:p w14:paraId="379D18E7" w14:textId="2B6FDFC0" w:rsidR="001C2F70" w:rsidRDefault="0094204A">
            <w:pPr>
              <w:jc w:val="center"/>
              <w:rPr>
                <w:rFonts w:ascii="Arial Bold" w:hAnsi="Arial Bold" w:cs="Calibri"/>
                <w:b/>
                <w:bCs/>
                <w:color w:val="000000"/>
                <w:sz w:val="18"/>
                <w:szCs w:val="18"/>
              </w:rPr>
            </w:pPr>
            <w:r>
              <w:rPr>
                <w:rFonts w:ascii="Arial Bold" w:hAnsi="Arial Bold" w:cs="Calibri"/>
                <w:b/>
                <w:bCs/>
                <w:color w:val="000000"/>
                <w:sz w:val="18"/>
                <w:szCs w:val="18"/>
              </w:rPr>
              <w:t xml:space="preserve">Table 1: </w:t>
            </w:r>
            <w:r w:rsidR="00BE2990">
              <w:rPr>
                <w:rFonts w:ascii="Arial Bold" w:hAnsi="Arial Bold" w:cs="Calibri"/>
                <w:b/>
                <w:bCs/>
                <w:color w:val="000000"/>
                <w:sz w:val="18"/>
                <w:szCs w:val="18"/>
              </w:rPr>
              <w:t xml:space="preserve">Majors at fall audit </w:t>
            </w:r>
            <w:r w:rsidR="001C2F70">
              <w:rPr>
                <w:rFonts w:ascii="Arial Bold" w:hAnsi="Arial Bold" w:cs="Calibri"/>
                <w:b/>
                <w:bCs/>
                <w:color w:val="000000"/>
                <w:sz w:val="18"/>
                <w:szCs w:val="18"/>
              </w:rPr>
              <w:t xml:space="preserve"> date, Fall 2015-Fall 2020</w:t>
            </w:r>
          </w:p>
        </w:tc>
      </w:tr>
      <w:tr w:rsidR="001C2F70" w14:paraId="2EEEB38B" w14:textId="77777777" w:rsidTr="0094204A">
        <w:trPr>
          <w:trHeight w:val="360"/>
        </w:trPr>
        <w:tc>
          <w:tcPr>
            <w:tcW w:w="8091" w:type="dxa"/>
            <w:gridSpan w:val="7"/>
            <w:tcBorders>
              <w:top w:val="nil"/>
              <w:left w:val="nil"/>
              <w:bottom w:val="single" w:sz="4" w:space="0" w:color="auto"/>
              <w:right w:val="nil"/>
            </w:tcBorders>
            <w:shd w:val="clear" w:color="auto" w:fill="auto"/>
            <w:hideMark/>
          </w:tcPr>
          <w:p w14:paraId="15A325D2" w14:textId="77777777" w:rsidR="001C2F70" w:rsidRDefault="001C2F70">
            <w:pPr>
              <w:jc w:val="center"/>
              <w:rPr>
                <w:rFonts w:ascii="Arial" w:hAnsi="Arial" w:cs="Arial"/>
                <w:color w:val="000000"/>
                <w:sz w:val="18"/>
                <w:szCs w:val="18"/>
              </w:rPr>
            </w:pPr>
            <w:r>
              <w:rPr>
                <w:rFonts w:ascii="Arial" w:hAnsi="Arial" w:cs="Arial"/>
                <w:color w:val="000000"/>
                <w:sz w:val="18"/>
                <w:szCs w:val="18"/>
              </w:rPr>
              <w:t>Includes all active majors on student's record on the audit file date.</w:t>
            </w:r>
          </w:p>
        </w:tc>
      </w:tr>
      <w:tr w:rsidR="0094204A" w14:paraId="7421EE81" w14:textId="77777777" w:rsidTr="0094204A">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14:paraId="166AB590" w14:textId="77777777" w:rsidR="001C2F70" w:rsidRDefault="001C2F70">
            <w:pPr>
              <w:jc w:val="right"/>
              <w:rPr>
                <w:rFonts w:ascii="Calibri" w:hAnsi="Calibri" w:cs="Calibri"/>
                <w:color w:val="000000"/>
                <w:sz w:val="22"/>
                <w:szCs w:val="22"/>
              </w:rPr>
            </w:pPr>
            <w:r>
              <w:rPr>
                <w:rFonts w:ascii="Calibri" w:hAnsi="Calibri" w:cs="Calibri"/>
                <w:color w:val="000000"/>
                <w:sz w:val="22"/>
                <w:szCs w:val="22"/>
              </w:rPr>
              <w:t> </w:t>
            </w:r>
          </w:p>
        </w:tc>
        <w:tc>
          <w:tcPr>
            <w:tcW w:w="768" w:type="dxa"/>
            <w:tcBorders>
              <w:top w:val="nil"/>
              <w:left w:val="nil"/>
              <w:bottom w:val="single" w:sz="4" w:space="0" w:color="auto"/>
              <w:right w:val="single" w:sz="4" w:space="0" w:color="auto"/>
            </w:tcBorders>
            <w:shd w:val="clear" w:color="000000" w:fill="DDEBF7"/>
            <w:noWrap/>
            <w:vAlign w:val="bottom"/>
            <w:hideMark/>
          </w:tcPr>
          <w:p w14:paraId="16C41587"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15/FA</w:t>
            </w:r>
          </w:p>
        </w:tc>
        <w:tc>
          <w:tcPr>
            <w:tcW w:w="1380" w:type="dxa"/>
            <w:tcBorders>
              <w:top w:val="nil"/>
              <w:left w:val="nil"/>
              <w:bottom w:val="single" w:sz="4" w:space="0" w:color="auto"/>
              <w:right w:val="single" w:sz="4" w:space="0" w:color="auto"/>
            </w:tcBorders>
            <w:shd w:val="clear" w:color="000000" w:fill="DDEBF7"/>
            <w:noWrap/>
            <w:vAlign w:val="bottom"/>
            <w:hideMark/>
          </w:tcPr>
          <w:p w14:paraId="7B7AA911"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16/FA</w:t>
            </w:r>
          </w:p>
        </w:tc>
        <w:tc>
          <w:tcPr>
            <w:tcW w:w="1520" w:type="dxa"/>
            <w:tcBorders>
              <w:top w:val="nil"/>
              <w:left w:val="nil"/>
              <w:bottom w:val="single" w:sz="4" w:space="0" w:color="auto"/>
              <w:right w:val="single" w:sz="4" w:space="0" w:color="auto"/>
            </w:tcBorders>
            <w:shd w:val="clear" w:color="000000" w:fill="DDEBF7"/>
            <w:noWrap/>
            <w:vAlign w:val="bottom"/>
            <w:hideMark/>
          </w:tcPr>
          <w:p w14:paraId="2BB4E6E4"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17/FA</w:t>
            </w:r>
          </w:p>
        </w:tc>
        <w:tc>
          <w:tcPr>
            <w:tcW w:w="1041" w:type="dxa"/>
            <w:tcBorders>
              <w:top w:val="nil"/>
              <w:left w:val="nil"/>
              <w:bottom w:val="single" w:sz="4" w:space="0" w:color="auto"/>
              <w:right w:val="single" w:sz="4" w:space="0" w:color="auto"/>
            </w:tcBorders>
            <w:shd w:val="clear" w:color="000000" w:fill="DDEBF7"/>
            <w:noWrap/>
            <w:vAlign w:val="bottom"/>
            <w:hideMark/>
          </w:tcPr>
          <w:p w14:paraId="560A7A17"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18/FA</w:t>
            </w:r>
          </w:p>
        </w:tc>
        <w:tc>
          <w:tcPr>
            <w:tcW w:w="1041" w:type="dxa"/>
            <w:tcBorders>
              <w:top w:val="nil"/>
              <w:left w:val="nil"/>
              <w:bottom w:val="single" w:sz="4" w:space="0" w:color="auto"/>
              <w:right w:val="single" w:sz="4" w:space="0" w:color="auto"/>
            </w:tcBorders>
            <w:shd w:val="clear" w:color="000000" w:fill="DDEBF7"/>
            <w:noWrap/>
            <w:vAlign w:val="bottom"/>
            <w:hideMark/>
          </w:tcPr>
          <w:p w14:paraId="6AFAA636"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19/FA</w:t>
            </w:r>
          </w:p>
        </w:tc>
        <w:tc>
          <w:tcPr>
            <w:tcW w:w="1098" w:type="dxa"/>
            <w:tcBorders>
              <w:top w:val="nil"/>
              <w:left w:val="nil"/>
              <w:bottom w:val="single" w:sz="4" w:space="0" w:color="auto"/>
              <w:right w:val="single" w:sz="4" w:space="0" w:color="auto"/>
            </w:tcBorders>
            <w:shd w:val="clear" w:color="000000" w:fill="DDEBF7"/>
            <w:noWrap/>
            <w:vAlign w:val="bottom"/>
            <w:hideMark/>
          </w:tcPr>
          <w:p w14:paraId="2CC74800"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20/FA</w:t>
            </w:r>
          </w:p>
        </w:tc>
      </w:tr>
      <w:tr w:rsidR="001C2F70" w14:paraId="4B670D00" w14:textId="77777777" w:rsidTr="0094204A">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14:paraId="54C7C824" w14:textId="77777777" w:rsidR="001C2F70" w:rsidRDefault="001C2F70">
            <w:pPr>
              <w:jc w:val="right"/>
              <w:rPr>
                <w:rFonts w:ascii="Calibri" w:hAnsi="Calibri" w:cs="Calibri"/>
                <w:color w:val="000000"/>
                <w:sz w:val="22"/>
                <w:szCs w:val="22"/>
              </w:rPr>
            </w:pPr>
            <w:r>
              <w:rPr>
                <w:rFonts w:ascii="Calibri" w:hAnsi="Calibri" w:cs="Calibri"/>
                <w:color w:val="000000"/>
                <w:sz w:val="22"/>
                <w:szCs w:val="22"/>
              </w:rPr>
              <w:t>Computer Science, BS</w:t>
            </w:r>
          </w:p>
        </w:tc>
        <w:tc>
          <w:tcPr>
            <w:tcW w:w="768" w:type="dxa"/>
            <w:tcBorders>
              <w:top w:val="nil"/>
              <w:left w:val="nil"/>
              <w:bottom w:val="single" w:sz="4" w:space="0" w:color="auto"/>
              <w:right w:val="single" w:sz="4" w:space="0" w:color="auto"/>
            </w:tcBorders>
            <w:shd w:val="clear" w:color="auto" w:fill="auto"/>
            <w:noWrap/>
            <w:vAlign w:val="bottom"/>
            <w:hideMark/>
          </w:tcPr>
          <w:p w14:paraId="0F5601E5"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77</w:t>
            </w:r>
          </w:p>
        </w:tc>
        <w:tc>
          <w:tcPr>
            <w:tcW w:w="1380" w:type="dxa"/>
            <w:tcBorders>
              <w:top w:val="nil"/>
              <w:left w:val="nil"/>
              <w:bottom w:val="single" w:sz="4" w:space="0" w:color="auto"/>
              <w:right w:val="single" w:sz="4" w:space="0" w:color="auto"/>
            </w:tcBorders>
            <w:shd w:val="clear" w:color="auto" w:fill="auto"/>
            <w:noWrap/>
            <w:vAlign w:val="bottom"/>
            <w:hideMark/>
          </w:tcPr>
          <w:p w14:paraId="7193687C"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91</w:t>
            </w:r>
          </w:p>
        </w:tc>
        <w:tc>
          <w:tcPr>
            <w:tcW w:w="1520" w:type="dxa"/>
            <w:tcBorders>
              <w:top w:val="nil"/>
              <w:left w:val="nil"/>
              <w:bottom w:val="single" w:sz="4" w:space="0" w:color="auto"/>
              <w:right w:val="single" w:sz="4" w:space="0" w:color="auto"/>
            </w:tcBorders>
            <w:shd w:val="clear" w:color="auto" w:fill="auto"/>
            <w:noWrap/>
            <w:vAlign w:val="bottom"/>
            <w:hideMark/>
          </w:tcPr>
          <w:p w14:paraId="3F1C4306"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109</w:t>
            </w:r>
          </w:p>
        </w:tc>
        <w:tc>
          <w:tcPr>
            <w:tcW w:w="1041" w:type="dxa"/>
            <w:tcBorders>
              <w:top w:val="nil"/>
              <w:left w:val="nil"/>
              <w:bottom w:val="single" w:sz="4" w:space="0" w:color="auto"/>
              <w:right w:val="single" w:sz="4" w:space="0" w:color="auto"/>
            </w:tcBorders>
            <w:shd w:val="clear" w:color="auto" w:fill="auto"/>
            <w:noWrap/>
            <w:vAlign w:val="bottom"/>
            <w:hideMark/>
          </w:tcPr>
          <w:p w14:paraId="3A441F43"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106</w:t>
            </w:r>
          </w:p>
        </w:tc>
        <w:tc>
          <w:tcPr>
            <w:tcW w:w="1041" w:type="dxa"/>
            <w:tcBorders>
              <w:top w:val="nil"/>
              <w:left w:val="nil"/>
              <w:bottom w:val="single" w:sz="4" w:space="0" w:color="auto"/>
              <w:right w:val="single" w:sz="4" w:space="0" w:color="auto"/>
            </w:tcBorders>
            <w:shd w:val="clear" w:color="auto" w:fill="auto"/>
            <w:noWrap/>
            <w:vAlign w:val="bottom"/>
            <w:hideMark/>
          </w:tcPr>
          <w:p w14:paraId="62701E43"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98</w:t>
            </w:r>
          </w:p>
        </w:tc>
        <w:tc>
          <w:tcPr>
            <w:tcW w:w="1098" w:type="dxa"/>
            <w:tcBorders>
              <w:top w:val="nil"/>
              <w:left w:val="nil"/>
              <w:bottom w:val="single" w:sz="4" w:space="0" w:color="auto"/>
              <w:right w:val="single" w:sz="4" w:space="0" w:color="auto"/>
            </w:tcBorders>
            <w:shd w:val="clear" w:color="auto" w:fill="auto"/>
            <w:noWrap/>
            <w:vAlign w:val="bottom"/>
            <w:hideMark/>
          </w:tcPr>
          <w:p w14:paraId="0245D0C7"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113</w:t>
            </w:r>
          </w:p>
        </w:tc>
      </w:tr>
      <w:tr w:rsidR="001C2F70" w14:paraId="38281664" w14:textId="77777777" w:rsidTr="0094204A">
        <w:trPr>
          <w:trHeight w:val="300"/>
        </w:trPr>
        <w:tc>
          <w:tcPr>
            <w:tcW w:w="1243" w:type="dxa"/>
            <w:tcBorders>
              <w:top w:val="nil"/>
              <w:left w:val="nil"/>
              <w:bottom w:val="nil"/>
              <w:right w:val="nil"/>
            </w:tcBorders>
            <w:shd w:val="clear" w:color="auto" w:fill="auto"/>
            <w:noWrap/>
            <w:vAlign w:val="bottom"/>
            <w:hideMark/>
          </w:tcPr>
          <w:p w14:paraId="4B6AA75F" w14:textId="74676D83" w:rsidR="001C2F70" w:rsidRPr="00BE2990" w:rsidRDefault="0094204A">
            <w:pPr>
              <w:jc w:val="center"/>
              <w:rPr>
                <w:rFonts w:ascii="Calibri" w:hAnsi="Calibri" w:cs="Calibri"/>
                <w:b/>
                <w:color w:val="000000"/>
                <w:sz w:val="22"/>
                <w:szCs w:val="22"/>
              </w:rPr>
            </w:pPr>
            <w:r w:rsidRPr="00BE2990">
              <w:rPr>
                <w:rFonts w:ascii="Calibri" w:hAnsi="Calibri" w:cs="Calibri"/>
                <w:b/>
                <w:color w:val="000000"/>
                <w:sz w:val="22"/>
                <w:szCs w:val="22"/>
              </w:rPr>
              <w:t>Overall</w:t>
            </w:r>
          </w:p>
        </w:tc>
        <w:tc>
          <w:tcPr>
            <w:tcW w:w="768" w:type="dxa"/>
            <w:tcBorders>
              <w:top w:val="nil"/>
              <w:left w:val="nil"/>
              <w:bottom w:val="nil"/>
              <w:right w:val="nil"/>
            </w:tcBorders>
            <w:shd w:val="clear" w:color="auto" w:fill="auto"/>
            <w:noWrap/>
            <w:vAlign w:val="bottom"/>
            <w:hideMark/>
          </w:tcPr>
          <w:p w14:paraId="55A3C758" w14:textId="77777777" w:rsidR="001C2F70" w:rsidRDefault="001C2F70">
            <w:pPr>
              <w:jc w:val="right"/>
              <w:rPr>
                <w:sz w:val="20"/>
                <w:szCs w:val="20"/>
              </w:rPr>
            </w:pPr>
          </w:p>
        </w:tc>
        <w:tc>
          <w:tcPr>
            <w:tcW w:w="1380" w:type="dxa"/>
            <w:tcBorders>
              <w:top w:val="nil"/>
              <w:left w:val="nil"/>
              <w:bottom w:val="nil"/>
              <w:right w:val="nil"/>
            </w:tcBorders>
            <w:shd w:val="clear" w:color="auto" w:fill="auto"/>
            <w:noWrap/>
            <w:vAlign w:val="bottom"/>
            <w:hideMark/>
          </w:tcPr>
          <w:p w14:paraId="07236106"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15-16</w:t>
            </w:r>
          </w:p>
        </w:tc>
        <w:tc>
          <w:tcPr>
            <w:tcW w:w="1520" w:type="dxa"/>
            <w:tcBorders>
              <w:top w:val="nil"/>
              <w:left w:val="nil"/>
              <w:bottom w:val="nil"/>
              <w:right w:val="nil"/>
            </w:tcBorders>
            <w:shd w:val="clear" w:color="auto" w:fill="auto"/>
            <w:noWrap/>
            <w:vAlign w:val="bottom"/>
            <w:hideMark/>
          </w:tcPr>
          <w:p w14:paraId="734DE5CA"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16-17</w:t>
            </w:r>
          </w:p>
        </w:tc>
        <w:tc>
          <w:tcPr>
            <w:tcW w:w="1041" w:type="dxa"/>
            <w:tcBorders>
              <w:top w:val="nil"/>
              <w:left w:val="nil"/>
              <w:bottom w:val="nil"/>
              <w:right w:val="nil"/>
            </w:tcBorders>
            <w:shd w:val="clear" w:color="auto" w:fill="auto"/>
            <w:noWrap/>
            <w:vAlign w:val="bottom"/>
            <w:hideMark/>
          </w:tcPr>
          <w:p w14:paraId="0E756295"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17-28</w:t>
            </w:r>
          </w:p>
        </w:tc>
        <w:tc>
          <w:tcPr>
            <w:tcW w:w="1041" w:type="dxa"/>
            <w:tcBorders>
              <w:top w:val="nil"/>
              <w:left w:val="nil"/>
              <w:bottom w:val="nil"/>
              <w:right w:val="nil"/>
            </w:tcBorders>
            <w:shd w:val="clear" w:color="auto" w:fill="auto"/>
            <w:noWrap/>
            <w:vAlign w:val="bottom"/>
            <w:hideMark/>
          </w:tcPr>
          <w:p w14:paraId="4853ACB2"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18-19</w:t>
            </w:r>
          </w:p>
        </w:tc>
        <w:tc>
          <w:tcPr>
            <w:tcW w:w="1098" w:type="dxa"/>
            <w:tcBorders>
              <w:top w:val="nil"/>
              <w:left w:val="nil"/>
              <w:bottom w:val="nil"/>
              <w:right w:val="nil"/>
            </w:tcBorders>
            <w:shd w:val="clear" w:color="auto" w:fill="auto"/>
            <w:noWrap/>
            <w:vAlign w:val="bottom"/>
            <w:hideMark/>
          </w:tcPr>
          <w:p w14:paraId="4D14F5D7"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19-20</w:t>
            </w:r>
          </w:p>
        </w:tc>
      </w:tr>
      <w:tr w:rsidR="001C2F70" w14:paraId="1C746C3B" w14:textId="77777777" w:rsidTr="0094204A">
        <w:trPr>
          <w:trHeight w:val="300"/>
        </w:trPr>
        <w:tc>
          <w:tcPr>
            <w:tcW w:w="1243" w:type="dxa"/>
            <w:tcBorders>
              <w:top w:val="nil"/>
              <w:left w:val="nil"/>
              <w:bottom w:val="nil"/>
              <w:right w:val="nil"/>
            </w:tcBorders>
            <w:shd w:val="clear" w:color="auto" w:fill="auto"/>
            <w:noWrap/>
            <w:vAlign w:val="bottom"/>
            <w:hideMark/>
          </w:tcPr>
          <w:p w14:paraId="74EFD9A2" w14:textId="6D306389" w:rsidR="001C2F70" w:rsidRPr="00BE2990" w:rsidRDefault="0094204A" w:rsidP="0094204A">
            <w:pPr>
              <w:jc w:val="center"/>
              <w:rPr>
                <w:rFonts w:ascii="Calibri" w:hAnsi="Calibri" w:cs="Calibri"/>
                <w:b/>
                <w:color w:val="000000"/>
                <w:sz w:val="22"/>
                <w:szCs w:val="22"/>
              </w:rPr>
            </w:pPr>
            <w:r w:rsidRPr="00BE2990">
              <w:rPr>
                <w:rFonts w:ascii="Calibri" w:hAnsi="Calibri" w:cs="Calibri"/>
                <w:b/>
                <w:color w:val="000000"/>
                <w:sz w:val="22"/>
                <w:szCs w:val="22"/>
              </w:rPr>
              <w:t>8.6%</w:t>
            </w:r>
          </w:p>
        </w:tc>
        <w:tc>
          <w:tcPr>
            <w:tcW w:w="768" w:type="dxa"/>
            <w:tcBorders>
              <w:top w:val="nil"/>
              <w:left w:val="nil"/>
              <w:bottom w:val="nil"/>
              <w:right w:val="nil"/>
            </w:tcBorders>
            <w:shd w:val="clear" w:color="auto" w:fill="auto"/>
            <w:noWrap/>
            <w:vAlign w:val="bottom"/>
            <w:hideMark/>
          </w:tcPr>
          <w:p w14:paraId="307D1DDA" w14:textId="77777777" w:rsidR="001C2F70" w:rsidRDefault="001C2F70">
            <w:pPr>
              <w:jc w:val="center"/>
              <w:rPr>
                <w:rFonts w:ascii="Calibri" w:hAnsi="Calibri" w:cs="Calibri"/>
                <w:color w:val="000000"/>
                <w:sz w:val="22"/>
                <w:szCs w:val="22"/>
              </w:rPr>
            </w:pPr>
          </w:p>
        </w:tc>
        <w:tc>
          <w:tcPr>
            <w:tcW w:w="1380" w:type="dxa"/>
            <w:tcBorders>
              <w:top w:val="nil"/>
              <w:left w:val="nil"/>
              <w:bottom w:val="nil"/>
              <w:right w:val="nil"/>
            </w:tcBorders>
            <w:shd w:val="clear" w:color="auto" w:fill="auto"/>
            <w:noWrap/>
            <w:vAlign w:val="bottom"/>
            <w:hideMark/>
          </w:tcPr>
          <w:p w14:paraId="4AEF13BB" w14:textId="3EE12669" w:rsidR="001C2F70" w:rsidRDefault="0094204A">
            <w:pPr>
              <w:jc w:val="center"/>
              <w:rPr>
                <w:rFonts w:ascii="Calibri" w:hAnsi="Calibri" w:cs="Calibri"/>
                <w:color w:val="000000"/>
                <w:sz w:val="22"/>
                <w:szCs w:val="22"/>
              </w:rPr>
            </w:pPr>
            <w:r>
              <w:rPr>
                <w:rFonts w:ascii="Calibri" w:hAnsi="Calibri" w:cs="Calibri"/>
                <w:color w:val="000000"/>
                <w:sz w:val="22"/>
                <w:szCs w:val="22"/>
              </w:rPr>
              <w:t>18.3%</w:t>
            </w:r>
          </w:p>
        </w:tc>
        <w:tc>
          <w:tcPr>
            <w:tcW w:w="1520" w:type="dxa"/>
            <w:tcBorders>
              <w:top w:val="nil"/>
              <w:left w:val="nil"/>
              <w:bottom w:val="nil"/>
              <w:right w:val="nil"/>
            </w:tcBorders>
            <w:shd w:val="clear" w:color="auto" w:fill="auto"/>
            <w:noWrap/>
            <w:vAlign w:val="bottom"/>
            <w:hideMark/>
          </w:tcPr>
          <w:p w14:paraId="50D4B71D" w14:textId="5E8B72AB" w:rsidR="001C2F70" w:rsidRDefault="001C2F70" w:rsidP="0094204A">
            <w:pPr>
              <w:jc w:val="center"/>
              <w:rPr>
                <w:rFonts w:ascii="Calibri" w:hAnsi="Calibri" w:cs="Calibri"/>
                <w:color w:val="000000"/>
                <w:sz w:val="22"/>
                <w:szCs w:val="22"/>
              </w:rPr>
            </w:pPr>
            <w:r>
              <w:rPr>
                <w:rFonts w:ascii="Calibri" w:hAnsi="Calibri" w:cs="Calibri"/>
                <w:color w:val="000000"/>
                <w:sz w:val="22"/>
                <w:szCs w:val="22"/>
              </w:rPr>
              <w:t>19.</w:t>
            </w:r>
            <w:r w:rsidR="0094204A">
              <w:rPr>
                <w:rFonts w:ascii="Calibri" w:hAnsi="Calibri" w:cs="Calibri"/>
                <w:color w:val="000000"/>
                <w:sz w:val="22"/>
                <w:szCs w:val="22"/>
              </w:rPr>
              <w:t>8%</w:t>
            </w:r>
          </w:p>
        </w:tc>
        <w:tc>
          <w:tcPr>
            <w:tcW w:w="1041" w:type="dxa"/>
            <w:tcBorders>
              <w:top w:val="nil"/>
              <w:left w:val="nil"/>
              <w:bottom w:val="nil"/>
              <w:right w:val="nil"/>
            </w:tcBorders>
            <w:shd w:val="clear" w:color="auto" w:fill="auto"/>
            <w:noWrap/>
            <w:vAlign w:val="bottom"/>
            <w:hideMark/>
          </w:tcPr>
          <w:p w14:paraId="0B81A6A2" w14:textId="26BAF2DF" w:rsidR="001C2F70" w:rsidRDefault="0094204A">
            <w:pPr>
              <w:jc w:val="center"/>
              <w:rPr>
                <w:rFonts w:ascii="Calibri" w:hAnsi="Calibri" w:cs="Calibri"/>
                <w:color w:val="000000"/>
                <w:sz w:val="22"/>
                <w:szCs w:val="22"/>
              </w:rPr>
            </w:pPr>
            <w:r>
              <w:rPr>
                <w:rFonts w:ascii="Calibri" w:hAnsi="Calibri" w:cs="Calibri"/>
                <w:color w:val="000000"/>
                <w:sz w:val="22"/>
                <w:szCs w:val="22"/>
              </w:rPr>
              <w:t>-2.8%</w:t>
            </w:r>
          </w:p>
        </w:tc>
        <w:tc>
          <w:tcPr>
            <w:tcW w:w="1041" w:type="dxa"/>
            <w:tcBorders>
              <w:top w:val="nil"/>
              <w:left w:val="nil"/>
              <w:bottom w:val="nil"/>
              <w:right w:val="nil"/>
            </w:tcBorders>
            <w:shd w:val="clear" w:color="auto" w:fill="auto"/>
            <w:noWrap/>
            <w:vAlign w:val="bottom"/>
            <w:hideMark/>
          </w:tcPr>
          <w:p w14:paraId="07E25931" w14:textId="6D042C4D" w:rsidR="001C2F70" w:rsidRDefault="0094204A">
            <w:pPr>
              <w:jc w:val="center"/>
              <w:rPr>
                <w:rFonts w:ascii="Calibri" w:hAnsi="Calibri" w:cs="Calibri"/>
                <w:color w:val="000000"/>
                <w:sz w:val="22"/>
                <w:szCs w:val="22"/>
              </w:rPr>
            </w:pPr>
            <w:r>
              <w:rPr>
                <w:rFonts w:ascii="Calibri" w:hAnsi="Calibri" w:cs="Calibri"/>
                <w:color w:val="000000"/>
                <w:sz w:val="22"/>
                <w:szCs w:val="22"/>
              </w:rPr>
              <w:t>-7.5%</w:t>
            </w:r>
          </w:p>
        </w:tc>
        <w:tc>
          <w:tcPr>
            <w:tcW w:w="1098" w:type="dxa"/>
            <w:tcBorders>
              <w:top w:val="nil"/>
              <w:left w:val="nil"/>
              <w:bottom w:val="nil"/>
              <w:right w:val="nil"/>
            </w:tcBorders>
            <w:shd w:val="clear" w:color="auto" w:fill="auto"/>
            <w:noWrap/>
            <w:vAlign w:val="bottom"/>
            <w:hideMark/>
          </w:tcPr>
          <w:p w14:paraId="11845318" w14:textId="54247743" w:rsidR="001C2F70" w:rsidRDefault="0094204A">
            <w:pPr>
              <w:jc w:val="center"/>
              <w:rPr>
                <w:rFonts w:ascii="Calibri" w:hAnsi="Calibri" w:cs="Calibri"/>
                <w:color w:val="000000"/>
                <w:sz w:val="22"/>
                <w:szCs w:val="22"/>
              </w:rPr>
            </w:pPr>
            <w:r>
              <w:rPr>
                <w:rFonts w:ascii="Calibri" w:hAnsi="Calibri" w:cs="Calibri"/>
                <w:color w:val="000000"/>
                <w:sz w:val="22"/>
                <w:szCs w:val="22"/>
              </w:rPr>
              <w:t>15.3%</w:t>
            </w:r>
          </w:p>
        </w:tc>
      </w:tr>
    </w:tbl>
    <w:p w14:paraId="0F428000" w14:textId="77777777" w:rsidR="001C2F70" w:rsidRPr="00F24146" w:rsidRDefault="001C2F70" w:rsidP="001C2F70">
      <w:pPr>
        <w:pStyle w:val="BodyTextIndent"/>
        <w:ind w:left="1440"/>
      </w:pPr>
    </w:p>
    <w:p w14:paraId="64A46424" w14:textId="1530BA05" w:rsidR="00DD5C10" w:rsidRPr="00F24146" w:rsidRDefault="00992A0A" w:rsidP="00DD5C10">
      <w:pPr>
        <w:pStyle w:val="BodyTextIndent"/>
        <w:numPr>
          <w:ilvl w:val="0"/>
          <w:numId w:val="10"/>
        </w:numPr>
      </w:pPr>
      <w:r w:rsidRPr="00992A0A">
        <w:rPr>
          <w:b/>
          <w:i/>
        </w:rPr>
        <w:t>Software Engineering</w:t>
      </w:r>
      <w:r>
        <w:rPr>
          <w:b/>
          <w:i/>
        </w:rPr>
        <w:t xml:space="preserve"> Major</w:t>
      </w:r>
      <w:r w:rsidRPr="00992A0A">
        <w:rPr>
          <w:b/>
          <w:i/>
        </w:rPr>
        <w:t xml:space="preserve"> -</w:t>
      </w:r>
      <w:r>
        <w:t xml:space="preserve"> </w:t>
      </w:r>
      <w:r w:rsidR="009D76C0">
        <w:t>During F2018 a Software</w:t>
      </w:r>
      <w:r w:rsidR="0094204A">
        <w:t xml:space="preserve"> Engineering </w:t>
      </w:r>
      <w:r w:rsidR="009D76C0">
        <w:t xml:space="preserve">major </w:t>
      </w:r>
      <w:r w:rsidR="0094204A">
        <w:t>was launched</w:t>
      </w:r>
      <w:r w:rsidR="009D76C0">
        <w:t xml:space="preserve"> that included 3-4 additional CSC courses</w:t>
      </w:r>
      <w:r w:rsidR="00BE2990">
        <w:t xml:space="preserve"> and </w:t>
      </w:r>
      <w:r w:rsidR="009D76C0">
        <w:t xml:space="preserve">two </w:t>
      </w:r>
      <w:r w:rsidR="00BE2990">
        <w:t xml:space="preserve">separate </w:t>
      </w:r>
      <w:r w:rsidR="009D76C0">
        <w:t>job searches for faculty. In both cases, the selected candidate accepted AU’s offer to later recant at the last minute (causing a series of last minute overload assignments.)</w:t>
      </w:r>
    </w:p>
    <w:p w14:paraId="2A6A0D06" w14:textId="6047DCA1" w:rsidR="009D76C0" w:rsidRDefault="00992A0A" w:rsidP="00DD5C10">
      <w:pPr>
        <w:pStyle w:val="BodyTextIndent"/>
        <w:numPr>
          <w:ilvl w:val="0"/>
          <w:numId w:val="10"/>
        </w:numPr>
      </w:pPr>
      <w:r>
        <w:rPr>
          <w:b/>
          <w:i/>
        </w:rPr>
        <w:lastRenderedPageBreak/>
        <w:t>Faculty Load</w:t>
      </w:r>
      <w:r w:rsidRPr="00992A0A">
        <w:rPr>
          <w:b/>
          <w:i/>
        </w:rPr>
        <w:t xml:space="preserve"> -</w:t>
      </w:r>
      <w:r>
        <w:t xml:space="preserve"> </w:t>
      </w:r>
      <w:r w:rsidR="009D76C0">
        <w:t xml:space="preserve">The rapid growth and hiring issues results in CSC faculty frequently teaching overload schedules and sometimes teaching 5 courses. </w:t>
      </w:r>
      <w:r>
        <w:t xml:space="preserve">We currently have 1 faculty full time staff, 1 as visiting Professor with a series of 1 year contacts and about .5 a Professor from the Mathematics Department. </w:t>
      </w:r>
    </w:p>
    <w:p w14:paraId="2B7A1C91" w14:textId="546A6DEB" w:rsidR="00992A0A" w:rsidRDefault="00992A0A" w:rsidP="00DD5C10">
      <w:pPr>
        <w:pStyle w:val="BodyTextIndent"/>
        <w:numPr>
          <w:ilvl w:val="0"/>
          <w:numId w:val="10"/>
        </w:numPr>
      </w:pPr>
      <w:r w:rsidRPr="00992A0A">
        <w:rPr>
          <w:b/>
          <w:i/>
        </w:rPr>
        <w:t>Curriculum Stress</w:t>
      </w:r>
      <w:r>
        <w:rPr>
          <w:b/>
          <w:i/>
        </w:rPr>
        <w:t xml:space="preserve"> and Student Jobs</w:t>
      </w:r>
      <w:r>
        <w:t xml:space="preserve"> – The AU CSC program requires significantly fewer course than most similar programs. </w:t>
      </w:r>
      <w:r w:rsidR="00244908">
        <w:t>During F2019, 1 course was eliminated and the course hours increase from 3 credits to 4. The AU CSC curriculum now requires 8 required courses and 2 electives. Most CSC programs require ~14 courses (or about 30% fewer</w:t>
      </w:r>
      <w:r w:rsidR="00050757">
        <w:t xml:space="preserve"> courses) with a 3 elective course system </w:t>
      </w:r>
      <w:r w:rsidR="00244908">
        <w:t xml:space="preserve">While this allows some students to graduate early, graduating students have a competitive disadvantage </w:t>
      </w:r>
      <w:r w:rsidR="00050757">
        <w:t xml:space="preserve">with less diverse knowledge and project experience </w:t>
      </w:r>
      <w:r w:rsidR="00244908">
        <w:t xml:space="preserve">in the </w:t>
      </w:r>
      <w:r w:rsidR="00BE2990">
        <w:t xml:space="preserve">highly competitive </w:t>
      </w:r>
      <w:r w:rsidR="00244908">
        <w:t xml:space="preserve"> tech field.   </w:t>
      </w:r>
    </w:p>
    <w:p w14:paraId="34078804" w14:textId="76E4216E" w:rsidR="00050757" w:rsidRPr="00F24146" w:rsidRDefault="00050757" w:rsidP="00050757">
      <w:pPr>
        <w:pStyle w:val="BodyTextIndent"/>
        <w:numPr>
          <w:ilvl w:val="0"/>
          <w:numId w:val="10"/>
        </w:numPr>
      </w:pPr>
      <w:r w:rsidRPr="00992A0A">
        <w:rPr>
          <w:b/>
          <w:i/>
        </w:rPr>
        <w:t xml:space="preserve">Curriculum </w:t>
      </w:r>
      <w:r>
        <w:rPr>
          <w:b/>
          <w:i/>
        </w:rPr>
        <w:t xml:space="preserve">Change </w:t>
      </w:r>
      <w:r w:rsidRPr="00992A0A">
        <w:rPr>
          <w:b/>
          <w:i/>
        </w:rPr>
        <w:t>-</w:t>
      </w:r>
      <w:r>
        <w:t xml:space="preserve"> Several curriculum changes were adopted during F2019-S2020, that fixed course descriptions, refined prerequisites, and dropped 1-2 electives. In addition to the added Software Engineering courses, 2-3 more electives we included such a Mobile Development and Programming Languages.</w:t>
      </w:r>
    </w:p>
    <w:p w14:paraId="7EFBD5ED" w14:textId="1207A0B3" w:rsidR="00F24146" w:rsidRPr="00386390" w:rsidRDefault="00386390" w:rsidP="00DD5C10">
      <w:pPr>
        <w:pStyle w:val="BodyTextIndent"/>
        <w:numPr>
          <w:ilvl w:val="0"/>
          <w:numId w:val="10"/>
        </w:numPr>
        <w:rPr>
          <w:b/>
          <w:i/>
        </w:rPr>
      </w:pPr>
      <w:r>
        <w:rPr>
          <w:b/>
          <w:i/>
        </w:rPr>
        <w:t>Faculty and Leadership Change –</w:t>
      </w:r>
      <w:r w:rsidR="00050757">
        <w:rPr>
          <w:b/>
          <w:i/>
        </w:rPr>
        <w:t xml:space="preserve"> </w:t>
      </w:r>
      <w:r w:rsidR="00FF3D50">
        <w:t xml:space="preserve"> In the last 6 years, the CSC </w:t>
      </w:r>
      <w:r>
        <w:t xml:space="preserve">lost 1 full time faculty and added one. </w:t>
      </w:r>
      <w:r w:rsidR="00FF3D50">
        <w:t xml:space="preserve"> </w:t>
      </w:r>
      <w:r>
        <w:t>A second faculty member has been with AU the entire time. During that time, the department was led by 5 different department heads with 5 different educational backgrounds</w:t>
      </w:r>
      <w:r w:rsidR="006B3C6F">
        <w:t>. This frequent leadership change has hampered the department’s ability to p</w:t>
      </w:r>
      <w:r w:rsidR="00BE2990">
        <w:t>l</w:t>
      </w:r>
      <w:r w:rsidR="006B3C6F">
        <w:t xml:space="preserve">an and continually improve. </w:t>
      </w:r>
    </w:p>
    <w:p w14:paraId="5779B87E" w14:textId="3DD99410" w:rsidR="00386390" w:rsidRPr="00050757" w:rsidRDefault="00386390" w:rsidP="00386390">
      <w:pPr>
        <w:pStyle w:val="BodyTextIndent"/>
        <w:ind w:left="1080"/>
        <w:rPr>
          <w:b/>
          <w:i/>
        </w:rPr>
      </w:pPr>
    </w:p>
    <w:p w14:paraId="5E449B00" w14:textId="77777777" w:rsidR="00DD5C10" w:rsidRPr="00DD5C10" w:rsidRDefault="00DD5C10" w:rsidP="00DD5C10">
      <w:pPr>
        <w:pStyle w:val="BodyTextIndent"/>
        <w:rPr>
          <w:i/>
        </w:rPr>
      </w:pPr>
    </w:p>
    <w:p w14:paraId="2718493E" w14:textId="561ED8B1" w:rsidR="00DD5C10" w:rsidRDefault="00471EE3" w:rsidP="00DD5C10">
      <w:pPr>
        <w:pStyle w:val="BodyTextIndent"/>
        <w:rPr>
          <w:i/>
        </w:rPr>
      </w:pPr>
      <w:r>
        <w:rPr>
          <w:i/>
        </w:rPr>
        <w:t xml:space="preserve">Demographic Data </w:t>
      </w:r>
    </w:p>
    <w:p w14:paraId="786BD271" w14:textId="20A13405" w:rsidR="00471EE3" w:rsidRDefault="00471EE3" w:rsidP="00DD5C10">
      <w:pPr>
        <w:pStyle w:val="BodyTextIndent"/>
        <w:rPr>
          <w:i/>
        </w:rPr>
      </w:pPr>
    </w:p>
    <w:p w14:paraId="63555ABD" w14:textId="5BF60A31" w:rsidR="00471EE3" w:rsidRPr="00471EE3" w:rsidRDefault="00471EE3" w:rsidP="00DD5C10">
      <w:pPr>
        <w:pStyle w:val="BodyTextIndent"/>
      </w:pPr>
      <w:r w:rsidRPr="00471EE3">
        <w:t>University provided demographic data shows the following trends</w:t>
      </w:r>
    </w:p>
    <w:p w14:paraId="14886233" w14:textId="0EE967AA" w:rsidR="00DD5C10" w:rsidRDefault="00DD5C10" w:rsidP="00DD5C10">
      <w:pPr>
        <w:pStyle w:val="BodyTextIndent"/>
        <w:rPr>
          <w:i/>
          <w:sz w:val="20"/>
        </w:rPr>
      </w:pPr>
    </w:p>
    <w:p w14:paraId="79AAF551" w14:textId="235F416B" w:rsidR="005E586D" w:rsidRPr="006A21B6" w:rsidRDefault="00647DFC" w:rsidP="00647DFC">
      <w:pPr>
        <w:pStyle w:val="BodyTextIndent"/>
        <w:numPr>
          <w:ilvl w:val="0"/>
          <w:numId w:val="11"/>
        </w:numPr>
        <w:rPr>
          <w:i/>
        </w:rPr>
      </w:pPr>
      <w:r w:rsidRPr="008E45C6">
        <w:rPr>
          <w:b/>
          <w:i/>
        </w:rPr>
        <w:t>Gender Gap</w:t>
      </w:r>
      <w:r>
        <w:t xml:space="preserve"> - </w:t>
      </w:r>
      <w:r w:rsidR="005E586D">
        <w:t xml:space="preserve">Over </w:t>
      </w:r>
      <w:r w:rsidR="001403C7">
        <w:t>the last 5 years on average 15.7</w:t>
      </w:r>
      <w:r w:rsidR="005E586D">
        <w:t xml:space="preserve">% of the CSC majors are women. This percentage of women CSC majors has been very consistent over the last 5 years </w:t>
      </w:r>
      <w:r w:rsidR="001403C7">
        <w:t>. (S</w:t>
      </w:r>
      <w:r w:rsidR="005E586D">
        <w:t xml:space="preserve">ee </w:t>
      </w:r>
      <w:r w:rsidR="001403C7">
        <w:t>Figure 1.)</w:t>
      </w:r>
      <w:r w:rsidR="005E586D">
        <w:t xml:space="preserve"> According to an </w:t>
      </w:r>
      <w:r w:rsidR="006A21B6">
        <w:t>article</w:t>
      </w:r>
      <w:r w:rsidR="005E586D">
        <w:t xml:space="preserve"> cited by Wikipedia</w:t>
      </w:r>
      <w:r w:rsidR="005E586D" w:rsidRPr="005E586D">
        <w:rPr>
          <w:rFonts w:ascii="Arial" w:hAnsi="Arial" w:cs="Arial"/>
          <w:color w:val="202122"/>
          <w:sz w:val="21"/>
          <w:szCs w:val="21"/>
          <w:shd w:val="clear" w:color="auto" w:fill="FFFFFF"/>
        </w:rPr>
        <w:t xml:space="preserve"> </w:t>
      </w:r>
      <w:sdt>
        <w:sdtPr>
          <w:rPr>
            <w:rFonts w:ascii="Arial" w:hAnsi="Arial" w:cs="Arial"/>
            <w:color w:val="202122"/>
            <w:sz w:val="21"/>
            <w:szCs w:val="21"/>
            <w:shd w:val="clear" w:color="auto" w:fill="FFFFFF"/>
          </w:rPr>
          <w:id w:val="1360167714"/>
          <w:citation/>
        </w:sdtPr>
        <w:sdtContent>
          <w:r w:rsidR="005E586D">
            <w:rPr>
              <w:rFonts w:ascii="Arial" w:hAnsi="Arial" w:cs="Arial"/>
              <w:color w:val="202122"/>
              <w:sz w:val="21"/>
              <w:szCs w:val="21"/>
              <w:shd w:val="clear" w:color="auto" w:fill="FFFFFF"/>
            </w:rPr>
            <w:fldChar w:fldCharType="begin"/>
          </w:r>
          <w:r w:rsidR="005E586D">
            <w:rPr>
              <w:rFonts w:ascii="Arial" w:hAnsi="Arial" w:cs="Arial"/>
              <w:color w:val="202122"/>
              <w:sz w:val="21"/>
              <w:szCs w:val="21"/>
              <w:shd w:val="clear" w:color="auto" w:fill="FFFFFF"/>
            </w:rPr>
            <w:instrText xml:space="preserve"> CITATION Wik21 \l 1033 </w:instrText>
          </w:r>
          <w:r w:rsidR="005E586D">
            <w:rPr>
              <w:rFonts w:ascii="Arial" w:hAnsi="Arial" w:cs="Arial"/>
              <w:color w:val="202122"/>
              <w:sz w:val="21"/>
              <w:szCs w:val="21"/>
              <w:shd w:val="clear" w:color="auto" w:fill="FFFFFF"/>
            </w:rPr>
            <w:fldChar w:fldCharType="separate"/>
          </w:r>
          <w:r w:rsidR="005E586D" w:rsidRPr="005E586D">
            <w:rPr>
              <w:rFonts w:ascii="Arial" w:hAnsi="Arial" w:cs="Arial"/>
              <w:noProof/>
              <w:color w:val="202122"/>
              <w:sz w:val="21"/>
              <w:szCs w:val="21"/>
              <w:shd w:val="clear" w:color="auto" w:fill="FFFFFF"/>
            </w:rPr>
            <w:t>(Wikipedia.com, 2021)</w:t>
          </w:r>
          <w:r w:rsidR="005E586D">
            <w:rPr>
              <w:rFonts w:ascii="Arial" w:hAnsi="Arial" w:cs="Arial"/>
              <w:color w:val="202122"/>
              <w:sz w:val="21"/>
              <w:szCs w:val="21"/>
              <w:shd w:val="clear" w:color="auto" w:fill="FFFFFF"/>
            </w:rPr>
            <w:fldChar w:fldCharType="end"/>
          </w:r>
        </w:sdtContent>
      </w:sdt>
      <w:r w:rsidR="005E586D">
        <w:rPr>
          <w:rFonts w:ascii="Arial" w:hAnsi="Arial" w:cs="Arial"/>
          <w:color w:val="202122"/>
          <w:sz w:val="21"/>
          <w:szCs w:val="21"/>
          <w:shd w:val="clear" w:color="auto" w:fill="FFFFFF"/>
        </w:rPr>
        <w:t xml:space="preserve">, </w:t>
      </w:r>
      <w:r w:rsidR="005E586D">
        <w:t xml:space="preserve">the national average of Women CSC majors is 18%. </w:t>
      </w:r>
      <w:r w:rsidR="006A21B6">
        <w:t xml:space="preserve">The most current year (2020) seems to be on track with the national averages. </w:t>
      </w:r>
    </w:p>
    <w:p w14:paraId="5903BD27" w14:textId="3C042ACF" w:rsidR="006A21B6" w:rsidRDefault="006A21B6" w:rsidP="006A21B6">
      <w:pPr>
        <w:pStyle w:val="BodyTextIndent"/>
        <w:ind w:left="720"/>
        <w:rPr>
          <w:b/>
          <w:i/>
        </w:rPr>
      </w:pPr>
    </w:p>
    <w:p w14:paraId="06EB1760" w14:textId="03EC7EFE" w:rsidR="006A21B6" w:rsidRDefault="006A21B6" w:rsidP="006A21B6">
      <w:pPr>
        <w:pStyle w:val="BodyTextIndent"/>
        <w:ind w:left="720"/>
        <w:rPr>
          <w:b/>
          <w:i/>
        </w:rPr>
      </w:pPr>
    </w:p>
    <w:p w14:paraId="22D083D5" w14:textId="77777777" w:rsidR="006A21B6" w:rsidRPr="008E45C6" w:rsidRDefault="006A21B6" w:rsidP="006A21B6">
      <w:pPr>
        <w:pStyle w:val="BodyTextIndent"/>
        <w:ind w:left="720"/>
        <w:rPr>
          <w:i/>
        </w:rPr>
      </w:pPr>
    </w:p>
    <w:p w14:paraId="4D15B98F" w14:textId="71B961A8" w:rsidR="005E586D" w:rsidRDefault="00FD32AD" w:rsidP="00FD32AD">
      <w:pPr>
        <w:pStyle w:val="Caption"/>
        <w:rPr>
          <w:noProof/>
        </w:rPr>
      </w:pPr>
      <w:r>
        <w:t xml:space="preserve">Figure </w:t>
      </w:r>
      <w:fldSimple w:instr=" SEQ Figure \* ARABIC ">
        <w:r w:rsidR="005D2198">
          <w:rPr>
            <w:noProof/>
          </w:rPr>
          <w:t>1</w:t>
        </w:r>
      </w:fldSimple>
      <w:r w:rsidR="006A21B6">
        <w:t>-Percent</w:t>
      </w:r>
      <w:r>
        <w:t xml:space="preserve"> CSC Majors</w:t>
      </w:r>
      <w:r w:rsidR="006A21B6">
        <w:t xml:space="preserve"> Identifying Themselves as Female Per Year</w:t>
      </w:r>
    </w:p>
    <w:p w14:paraId="6C1655EA" w14:textId="7AFEB7D2" w:rsidR="006A21B6" w:rsidRPr="006A21B6" w:rsidRDefault="006A21B6" w:rsidP="006A21B6">
      <w:r>
        <w:rPr>
          <w:noProof/>
        </w:rPr>
        <w:drawing>
          <wp:inline distT="0" distB="0" distL="0" distR="0" wp14:anchorId="18DEF3B8" wp14:editId="6D45FB9D">
            <wp:extent cx="3981450" cy="136207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1CF911" w14:textId="1D4F1888" w:rsidR="005E586D" w:rsidRDefault="005E586D" w:rsidP="005E586D">
      <w:pPr>
        <w:pStyle w:val="BodyTextIndent"/>
        <w:ind w:left="720"/>
        <w:rPr>
          <w:i/>
        </w:rPr>
      </w:pPr>
    </w:p>
    <w:p w14:paraId="25BB9260" w14:textId="660ACF3A" w:rsidR="000A4608" w:rsidRPr="005D2198" w:rsidRDefault="00471EE3" w:rsidP="00FD32AD">
      <w:pPr>
        <w:pStyle w:val="BodyTextIndent"/>
        <w:numPr>
          <w:ilvl w:val="0"/>
          <w:numId w:val="11"/>
        </w:numPr>
        <w:rPr>
          <w:i/>
        </w:rPr>
      </w:pPr>
      <w:r w:rsidRPr="00471EE3">
        <w:rPr>
          <w:b/>
          <w:i/>
          <w:noProof/>
        </w:rPr>
        <w:lastRenderedPageBreak/>
        <w:t>Racial Data -</w:t>
      </w:r>
      <w:r>
        <w:rPr>
          <w:noProof/>
        </w:rPr>
        <w:t xml:space="preserve"> </w:t>
      </w:r>
      <w:r w:rsidR="00FD32AD">
        <w:rPr>
          <w:noProof/>
        </w:rPr>
        <w:t>During the last 5 year</w:t>
      </w:r>
      <w:r w:rsidR="00E74EEB">
        <w:rPr>
          <w:noProof/>
        </w:rPr>
        <w:t>s</w:t>
      </w:r>
      <w:r w:rsidR="00FD32AD">
        <w:rPr>
          <w:noProof/>
        </w:rPr>
        <w:t xml:space="preserve">, the percentage of hispanic CSC majors have increased </w:t>
      </w:r>
      <w:r w:rsidR="00E74EEB">
        <w:rPr>
          <w:noProof/>
        </w:rPr>
        <w:t xml:space="preserve">122% (2015:22, 2020:49) </w:t>
      </w:r>
      <w:r w:rsidR="00FD32AD">
        <w:rPr>
          <w:noProof/>
        </w:rPr>
        <w:t xml:space="preserve">At that same,  time the percentage of students identifying themselves as white </w:t>
      </w:r>
      <w:r w:rsidR="00E74EEB">
        <w:rPr>
          <w:noProof/>
        </w:rPr>
        <w:t xml:space="preserve">has remained constant (2015: 38, 2020:38). The percent CSC Black majors has fallen dramatically  from a </w:t>
      </w:r>
      <w:r w:rsidR="005D2198">
        <w:rPr>
          <w:noProof/>
        </w:rPr>
        <w:t>high of</w:t>
      </w:r>
      <w:r w:rsidR="00E74EEB">
        <w:rPr>
          <w:noProof/>
        </w:rPr>
        <w:t xml:space="preserve"> 16 to</w:t>
      </w:r>
      <w:r w:rsidR="005D2198">
        <w:rPr>
          <w:noProof/>
        </w:rPr>
        <w:t xml:space="preserve"> cuurnely only 4.  In particular, something appears to have shifted from  F2018-F2019. During that time,  the incoming white dropped by 27% and black by 50% while hispanic majors increased 26%. From F2019-F2020 the incoming White population seems to have recovered (8.5% growth). </w:t>
      </w:r>
      <w:r w:rsidR="001403C7">
        <w:rPr>
          <w:noProof/>
        </w:rPr>
        <w:t xml:space="preserve">However, </w:t>
      </w:r>
      <w:r w:rsidR="005D2198">
        <w:rPr>
          <w:noProof/>
        </w:rPr>
        <w:t xml:space="preserve"> the incoming Black population dr</w:t>
      </w:r>
      <w:r w:rsidR="001403C7">
        <w:rPr>
          <w:noProof/>
        </w:rPr>
        <w:t>opped to its lowest level (</w:t>
      </w:r>
      <w:r w:rsidR="005D2198">
        <w:rPr>
          <w:noProof/>
        </w:rPr>
        <w:t>4) in the last 5 years.</w:t>
      </w:r>
    </w:p>
    <w:p w14:paraId="362CE164" w14:textId="77777777" w:rsidR="005D2198" w:rsidRPr="005D2198" w:rsidRDefault="005D2198" w:rsidP="005D2198">
      <w:pPr>
        <w:pStyle w:val="BodyTextIndent"/>
        <w:ind w:left="720"/>
        <w:rPr>
          <w:i/>
        </w:rPr>
      </w:pPr>
    </w:p>
    <w:p w14:paraId="7ED2FEE2" w14:textId="667506CA" w:rsidR="005D2198" w:rsidRPr="00FD32AD" w:rsidRDefault="005D2198" w:rsidP="005D2198">
      <w:pPr>
        <w:pStyle w:val="Caption"/>
      </w:pPr>
      <w:r>
        <w:t xml:space="preserve">Figure </w:t>
      </w:r>
      <w:fldSimple w:instr=" SEQ Figure \* ARABIC ">
        <w:r>
          <w:rPr>
            <w:noProof/>
          </w:rPr>
          <w:t>2</w:t>
        </w:r>
      </w:fldSimple>
      <w:r>
        <w:t>- Incoming CSC Majors Identification by Race</w:t>
      </w:r>
    </w:p>
    <w:p w14:paraId="44271669" w14:textId="11E5D1B4" w:rsidR="00FD32AD" w:rsidRDefault="00E74EEB" w:rsidP="00FD32AD">
      <w:pPr>
        <w:pStyle w:val="BodyTextIndent"/>
        <w:ind w:left="720"/>
        <w:rPr>
          <w:i/>
        </w:rPr>
      </w:pPr>
      <w:r>
        <w:rPr>
          <w:noProof/>
        </w:rPr>
        <w:drawing>
          <wp:inline distT="0" distB="0" distL="0" distR="0" wp14:anchorId="38AAAD80" wp14:editId="2103F7FF">
            <wp:extent cx="3695700" cy="22288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8AD250" w14:textId="0FB31A89" w:rsidR="005E3C37" w:rsidRDefault="005E3C37" w:rsidP="000A4608">
      <w:pPr>
        <w:pStyle w:val="BodyTextIndent"/>
        <w:rPr>
          <w:i/>
        </w:rPr>
      </w:pPr>
    </w:p>
    <w:p w14:paraId="650DBA95" w14:textId="5ABBC48A" w:rsidR="005E3C37" w:rsidRDefault="005E3C37" w:rsidP="000A4608">
      <w:pPr>
        <w:pStyle w:val="BodyTextIndent"/>
        <w:rPr>
          <w:i/>
        </w:rPr>
      </w:pPr>
    </w:p>
    <w:p w14:paraId="706FB6E0" w14:textId="2392E8FF" w:rsidR="005E3C37" w:rsidRPr="001B7D0D" w:rsidRDefault="00471EE3" w:rsidP="00471EE3">
      <w:pPr>
        <w:pStyle w:val="BodyTextIndent"/>
        <w:numPr>
          <w:ilvl w:val="0"/>
          <w:numId w:val="11"/>
        </w:numPr>
        <w:rPr>
          <w:i/>
        </w:rPr>
      </w:pPr>
      <w:r>
        <w:rPr>
          <w:i/>
        </w:rPr>
        <w:t xml:space="preserve">Age </w:t>
      </w:r>
      <w:r>
        <w:rPr>
          <w:i/>
        </w:rPr>
        <w:softHyphen/>
      </w:r>
      <w:r w:rsidR="001B7D0D">
        <w:rPr>
          <w:i/>
        </w:rPr>
        <w:t xml:space="preserve">Data – </w:t>
      </w:r>
      <w:r w:rsidR="001B7D0D">
        <w:t xml:space="preserve">During the last 5 years, the CSC program seems to be attracting more students in the 16-22 age category. The 16-22 age group increased 63% from 2015-2020 compared to the programs 46% growth rate during that time. </w:t>
      </w:r>
    </w:p>
    <w:p w14:paraId="74EBE20E" w14:textId="77777777" w:rsidR="001B7D0D" w:rsidRPr="005D2198" w:rsidRDefault="001B7D0D" w:rsidP="001B7D0D">
      <w:pPr>
        <w:pStyle w:val="BodyTextIndent"/>
        <w:ind w:left="720"/>
        <w:rPr>
          <w:i/>
        </w:rPr>
      </w:pPr>
    </w:p>
    <w:p w14:paraId="184C2129" w14:textId="6147813D" w:rsidR="001B7D0D" w:rsidRPr="00FD32AD" w:rsidRDefault="001B7D0D" w:rsidP="001B7D0D">
      <w:pPr>
        <w:pStyle w:val="Caption"/>
        <w:ind w:left="720"/>
      </w:pPr>
      <w:r>
        <w:t xml:space="preserve">Figure </w:t>
      </w:r>
      <w:fldSimple w:instr=" SEQ Figure \* ARABIC ">
        <w:r>
          <w:rPr>
            <w:noProof/>
          </w:rPr>
          <w:t>2</w:t>
        </w:r>
      </w:fldSimple>
      <w:r>
        <w:t>- Incoming CSC Majors By Age</w:t>
      </w:r>
    </w:p>
    <w:p w14:paraId="28F90970" w14:textId="77777777" w:rsidR="001B7D0D" w:rsidRPr="001B7D0D" w:rsidRDefault="001B7D0D" w:rsidP="001B7D0D">
      <w:pPr>
        <w:pStyle w:val="BodyTextIndent"/>
        <w:ind w:left="720"/>
        <w:rPr>
          <w:i/>
        </w:rPr>
      </w:pPr>
    </w:p>
    <w:p w14:paraId="3EB1DE05" w14:textId="4FCF0A00" w:rsidR="001B7D0D" w:rsidRDefault="001B7D0D" w:rsidP="001B7D0D">
      <w:pPr>
        <w:pStyle w:val="BodyTextIndent"/>
        <w:rPr>
          <w:i/>
        </w:rPr>
      </w:pPr>
      <w:r>
        <w:rPr>
          <w:noProof/>
        </w:rPr>
        <w:drawing>
          <wp:inline distT="0" distB="0" distL="0" distR="0" wp14:anchorId="54BF8009" wp14:editId="163C8D81">
            <wp:extent cx="3962400" cy="20764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789279" w14:textId="77777777" w:rsidR="005E3C37" w:rsidRPr="00DD5C10" w:rsidRDefault="005E3C37" w:rsidP="000A4608">
      <w:pPr>
        <w:pStyle w:val="BodyTextIndent"/>
        <w:rPr>
          <w:i/>
        </w:rPr>
      </w:pPr>
    </w:p>
    <w:p w14:paraId="63602880" w14:textId="77777777" w:rsidR="00DD5C10" w:rsidRPr="00DD5C10" w:rsidRDefault="00DD5C10" w:rsidP="00DD5C10">
      <w:pPr>
        <w:pStyle w:val="BodyTextIndent"/>
        <w:rPr>
          <w:i/>
        </w:rPr>
      </w:pPr>
    </w:p>
    <w:p w14:paraId="7AFE9E1F" w14:textId="77777777" w:rsidR="00DD5C10" w:rsidRPr="00DD5C10" w:rsidRDefault="00DD5C10" w:rsidP="00DD5C10">
      <w:pPr>
        <w:pStyle w:val="BodyTextIndent"/>
        <w:numPr>
          <w:ilvl w:val="0"/>
          <w:numId w:val="8"/>
        </w:numPr>
        <w:rPr>
          <w:i/>
        </w:rPr>
      </w:pPr>
      <w:r w:rsidRPr="00DD5C10">
        <w:rPr>
          <w:i/>
        </w:rPr>
        <w:lastRenderedPageBreak/>
        <w:t>Alignment with University Mission, Strategic Goals, and Objectives</w:t>
      </w:r>
    </w:p>
    <w:p w14:paraId="1505137C" w14:textId="77777777" w:rsidR="00DD5C10" w:rsidRPr="00DD5C10" w:rsidRDefault="00DD5C10" w:rsidP="00DD5C10">
      <w:pPr>
        <w:pStyle w:val="BodyTextIndent"/>
        <w:rPr>
          <w:i/>
        </w:rPr>
      </w:pPr>
    </w:p>
    <w:p w14:paraId="250E7BCB" w14:textId="4CF9C189" w:rsidR="00263E4D" w:rsidRDefault="00DD5C10" w:rsidP="00DD5C10">
      <w:pPr>
        <w:pStyle w:val="BodyTextIndent"/>
      </w:pPr>
      <w:r w:rsidRPr="001403C7">
        <w:t>As noted in the Introduction, the University commits itself to encouraging students to “</w:t>
      </w:r>
      <w:r w:rsidR="003D58E9" w:rsidRPr="003D58E9">
        <w:rPr>
          <w:rFonts w:ascii="Arial" w:hAnsi="Arial" w:cs="Arial"/>
          <w:color w:val="000000"/>
          <w:sz w:val="22"/>
        </w:rPr>
        <w:t>the transformative power of learning</w:t>
      </w:r>
      <w:r w:rsidRPr="001403C7">
        <w:t>.” In addition, the University works to “empower our students to achieve lasting per</w:t>
      </w:r>
      <w:r w:rsidR="00D00221">
        <w:t xml:space="preserve">sonal and professional success.” AU has core values of  Excellence, Integrity, Citizenship and Continuous learning. </w:t>
      </w:r>
    </w:p>
    <w:p w14:paraId="50058CC7" w14:textId="77777777" w:rsidR="00D00221" w:rsidRPr="00263E4D" w:rsidRDefault="00D00221" w:rsidP="00DD5C10">
      <w:pPr>
        <w:pStyle w:val="BodyTextIndent"/>
        <w:rPr>
          <w:b/>
        </w:rPr>
      </w:pPr>
    </w:p>
    <w:p w14:paraId="2EF16A78" w14:textId="0ED53993" w:rsidR="003D58E9" w:rsidRDefault="003D58E9" w:rsidP="00DD5C10">
      <w:pPr>
        <w:pStyle w:val="BodyTextIndent"/>
      </w:pPr>
      <w:r>
        <w:t>The C</w:t>
      </w:r>
      <w:r w:rsidR="00DD5C10" w:rsidRPr="003D58E9">
        <w:t>SC program aligns itself with these missions and goals in a number of ways.</w:t>
      </w:r>
    </w:p>
    <w:p w14:paraId="6E1681C0" w14:textId="5A3DA54C" w:rsidR="00263E4D" w:rsidRDefault="00DD5C10" w:rsidP="003D58E9">
      <w:pPr>
        <w:pStyle w:val="BodyTextIndent"/>
        <w:numPr>
          <w:ilvl w:val="0"/>
          <w:numId w:val="12"/>
        </w:numPr>
        <w:rPr>
          <w:i/>
        </w:rPr>
      </w:pPr>
      <w:r w:rsidRPr="00DD5C10">
        <w:rPr>
          <w:i/>
        </w:rPr>
        <w:t xml:space="preserve"> </w:t>
      </w:r>
      <w:r w:rsidR="003D58E9" w:rsidRPr="00D00221">
        <w:rPr>
          <w:b/>
          <w:i/>
        </w:rPr>
        <w:t>Excellence –</w:t>
      </w:r>
      <w:r w:rsidR="003D58E9">
        <w:t xml:space="preserve"> As an engineering based program, the program requires student to complete studies in calculus, discrete mathematics and course work in Data Structures, </w:t>
      </w:r>
      <w:r w:rsidR="00263E4D">
        <w:t>Software Engineering and Databases. These are not easy courses and require significant efforts of student time to learn and study</w:t>
      </w:r>
      <w:r w:rsidR="00263E4D">
        <w:rPr>
          <w:i/>
        </w:rPr>
        <w:t xml:space="preserve">. </w:t>
      </w:r>
      <w:r w:rsidR="00263E4D">
        <w:t xml:space="preserve">In addition, in courses such as Data Structures, Software Engineering and Capstone, students learn about and prepare for the high bar the tech industry places on new hires. They learn the value of honing their craft by practicing technical interviewing problems and technical interview questions test their abilities to build systems and software. </w:t>
      </w:r>
    </w:p>
    <w:p w14:paraId="6F1AA034" w14:textId="6D7DF80D" w:rsidR="00D00221" w:rsidRDefault="00D00221" w:rsidP="003D58E9">
      <w:pPr>
        <w:pStyle w:val="BodyTextIndent"/>
        <w:numPr>
          <w:ilvl w:val="0"/>
          <w:numId w:val="12"/>
        </w:numPr>
      </w:pPr>
      <w:r w:rsidRPr="00D00221">
        <w:rPr>
          <w:b/>
          <w:i/>
        </w:rPr>
        <w:t>Integrity –</w:t>
      </w:r>
      <w:r>
        <w:t xml:space="preserve"> All CSC students take part in learning, discussion and in an in-depth writing initiative on Engineering ethics. During this time, they learn about the Software Engineering ethical Code, ethical frameworks for decisions and analyze through a major paper specific ethical dilemmas in Engineering. </w:t>
      </w:r>
    </w:p>
    <w:p w14:paraId="16D86C40" w14:textId="3E9C5E2D" w:rsidR="001C1DEC" w:rsidRDefault="00D00221" w:rsidP="003D58E9">
      <w:pPr>
        <w:pStyle w:val="BodyTextIndent"/>
        <w:numPr>
          <w:ilvl w:val="0"/>
          <w:numId w:val="12"/>
        </w:numPr>
      </w:pPr>
      <w:r>
        <w:rPr>
          <w:b/>
          <w:i/>
        </w:rPr>
        <w:t xml:space="preserve">Citizenship </w:t>
      </w:r>
      <w:r w:rsidR="00263E4D">
        <w:t>–</w:t>
      </w:r>
      <w:r w:rsidR="00263E4D" w:rsidRPr="00263E4D">
        <w:t xml:space="preserve"> </w:t>
      </w:r>
      <w:r>
        <w:t xml:space="preserve">Over the last 3 years, the AU CSC program has worked with a variety of </w:t>
      </w:r>
      <w:r w:rsidR="001C1DEC">
        <w:t xml:space="preserve">non-for-profit and local projects. For example, we completed software that created a volunteer tracking system for the Aurora Food Pantry, a web site for “Hearts of Hope” non-for-profit counseling (see Figure 3 below), an ID checker for the Kane County Court Houses, a video project for the Kane County Animal Shelter, and a GPA Calculator for the Aurora University.  </w:t>
      </w:r>
    </w:p>
    <w:p w14:paraId="59501403" w14:textId="77777777" w:rsidR="001C1DEC" w:rsidRDefault="001C1DEC" w:rsidP="001C1DEC">
      <w:pPr>
        <w:pStyle w:val="BodyTextIndent"/>
        <w:ind w:left="720"/>
      </w:pPr>
    </w:p>
    <w:p w14:paraId="0CBE210E" w14:textId="52AEC7E2" w:rsidR="001C1DEC" w:rsidRDefault="001C1DEC" w:rsidP="001C1DEC">
      <w:pPr>
        <w:pStyle w:val="Caption"/>
        <w:ind w:left="720"/>
      </w:pPr>
      <w:r>
        <w:t>Figure 3- Hearts of Hope Home Page Created by AU CSC Students</w:t>
      </w:r>
    </w:p>
    <w:p w14:paraId="66C4EA5C" w14:textId="14E2B524" w:rsidR="003D58E9" w:rsidRDefault="001C1DEC" w:rsidP="001C1DEC">
      <w:pPr>
        <w:pStyle w:val="BodyTextIndent"/>
      </w:pPr>
      <w:r>
        <w:t xml:space="preserve"> </w:t>
      </w:r>
      <w:r>
        <w:rPr>
          <w:noProof/>
        </w:rPr>
        <w:drawing>
          <wp:inline distT="0" distB="0" distL="0" distR="0" wp14:anchorId="6DAB8637" wp14:editId="473B9105">
            <wp:extent cx="4219575" cy="187671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9557" cy="1890054"/>
                    </a:xfrm>
                    <a:prstGeom prst="rect">
                      <a:avLst/>
                    </a:prstGeom>
                  </pic:spPr>
                </pic:pic>
              </a:graphicData>
            </a:graphic>
          </wp:inline>
        </w:drawing>
      </w:r>
      <w:r w:rsidR="00263E4D">
        <w:t xml:space="preserve"> </w:t>
      </w:r>
    </w:p>
    <w:p w14:paraId="70C64FAD" w14:textId="7A90CD5E" w:rsidR="001C1DEC" w:rsidRDefault="001C1DEC" w:rsidP="00B41F3F">
      <w:pPr>
        <w:pStyle w:val="BodyTextIndent"/>
        <w:numPr>
          <w:ilvl w:val="0"/>
          <w:numId w:val="12"/>
        </w:numPr>
      </w:pPr>
      <w:r w:rsidRPr="001C1DEC">
        <w:rPr>
          <w:b/>
          <w:i/>
        </w:rPr>
        <w:t xml:space="preserve">Continuous Learning </w:t>
      </w:r>
      <w:r>
        <w:t>–</w:t>
      </w:r>
      <w:r w:rsidRPr="00263E4D">
        <w:t xml:space="preserve"> </w:t>
      </w:r>
      <w:r>
        <w:t xml:space="preserve">The AU value is also a core value of the AU CSC program. In almost every class, students learn about the quick pace of technology and the need to become continuous, </w:t>
      </w:r>
      <w:r w:rsidR="008B3A61">
        <w:t xml:space="preserve">self-directed </w:t>
      </w:r>
      <w:r>
        <w:t xml:space="preserve">learners. </w:t>
      </w:r>
      <w:r w:rsidR="008B3A61">
        <w:t xml:space="preserve">For example, in Web Application Development students learn how quickly web technologies and standards have changed in the last 4 years. They learn how quickly syntax, technology becomes deprecated and the need to continuously learn the leading edge of technology. In data structures, students are required to learn about and practice problems from sites that provide technical </w:t>
      </w:r>
      <w:r w:rsidR="008B3A61">
        <w:lastRenderedPageBreak/>
        <w:t xml:space="preserve">problems designed to hone their skills.  In Capstone, students are required to practice self-directed learning by selecting a new technology (with instructor approval) and learning and incorporating it into projects. </w:t>
      </w:r>
    </w:p>
    <w:p w14:paraId="087E6A5A" w14:textId="67CB7C41" w:rsidR="00DD5C10" w:rsidRDefault="00DD5C10" w:rsidP="008B3A61">
      <w:pPr>
        <w:pStyle w:val="BodyTextIndent"/>
        <w:ind w:left="720"/>
      </w:pPr>
    </w:p>
    <w:p w14:paraId="0431789C" w14:textId="7749F696" w:rsidR="004C49D6" w:rsidRDefault="009A6AC6" w:rsidP="004C49D6">
      <w:pPr>
        <w:pStyle w:val="BodyTextIndent"/>
        <w:numPr>
          <w:ilvl w:val="0"/>
          <w:numId w:val="8"/>
        </w:numPr>
      </w:pPr>
      <w:r>
        <w:t>Quality of i</w:t>
      </w:r>
      <w:r w:rsidR="004C49D6">
        <w:t>nstruction</w:t>
      </w:r>
      <w:r w:rsidR="00DA34CA">
        <w:t xml:space="preserve"> - </w:t>
      </w:r>
      <w:r w:rsidR="00DA34CA" w:rsidRPr="00DA34CA">
        <w:t xml:space="preserve"> </w:t>
      </w:r>
      <w:r w:rsidR="00343110">
        <w:t>W</w:t>
      </w:r>
      <w:r w:rsidR="00DA34CA">
        <w:t>hat do the reports suggest about the quality of instruction and how the quality has changed over time? What do the reports suggest about actions that could be taken to improve instructional quality?</w:t>
      </w:r>
    </w:p>
    <w:p w14:paraId="211D5096" w14:textId="77777777" w:rsidR="004F032B" w:rsidRDefault="004F032B" w:rsidP="004F032B">
      <w:pPr>
        <w:pStyle w:val="BodyTextIndent"/>
        <w:ind w:left="1080"/>
      </w:pPr>
    </w:p>
    <w:p w14:paraId="7902C2C2" w14:textId="1B30BBBE" w:rsidR="004F032B" w:rsidRDefault="004F032B" w:rsidP="00806222">
      <w:pPr>
        <w:pStyle w:val="BodyTextIndent"/>
        <w:ind w:left="1080"/>
      </w:pPr>
      <w:r>
        <w:t>Table 2 compares average Smart Evaluation ratings earned in CSC courses between Fall 2016 and Fall 2020  to averages earned in all Arts and Sciences courses. As shown in this table, CSC courses rated less favorably than Arts and Sciences courses did generally</w:t>
      </w:r>
      <w:r w:rsidR="00763855">
        <w:t xml:space="preserve"> on average by 4.5%</w:t>
      </w:r>
      <w:r>
        <w:t xml:space="preserve">. Comparisons by year are not appreciably different from the aggregate scores reported here and are therefore not displayed separately. </w:t>
      </w:r>
    </w:p>
    <w:p w14:paraId="79F672D3" w14:textId="77777777" w:rsidR="004F032B" w:rsidRDefault="004F032B" w:rsidP="004F032B">
      <w:pPr>
        <w:pStyle w:val="BodyTextIndent"/>
        <w:jc w:val="center"/>
      </w:pPr>
    </w:p>
    <w:p w14:paraId="5D388307" w14:textId="34CC0C9D" w:rsidR="004F032B" w:rsidRDefault="004F032B" w:rsidP="004F032B">
      <w:pPr>
        <w:pStyle w:val="BodyTextIndent"/>
        <w:ind w:left="1080"/>
      </w:pPr>
      <w:r>
        <w:t xml:space="preserve">Table 2. Smart </w:t>
      </w:r>
      <w:r w:rsidR="00763855">
        <w:t xml:space="preserve">Evaluation Comparison (Fall </w:t>
      </w:r>
      <w:r>
        <w:t>2016 – Fall 2020</w:t>
      </w:r>
      <w:r w:rsidR="00763855">
        <w:t>)</w:t>
      </w:r>
    </w:p>
    <w:p w14:paraId="5C0788C5" w14:textId="77777777" w:rsidR="004F032B" w:rsidRDefault="004F032B" w:rsidP="004F032B">
      <w:pPr>
        <w:pStyle w:val="BodyTextIndent"/>
        <w:ind w:left="1080"/>
      </w:pPr>
    </w:p>
    <w:tbl>
      <w:tblPr>
        <w:tblStyle w:val="TableGrid"/>
        <w:tblW w:w="0" w:type="auto"/>
        <w:tblInd w:w="1255" w:type="dxa"/>
        <w:tblLook w:val="04A0" w:firstRow="1" w:lastRow="0" w:firstColumn="1" w:lastColumn="0" w:noHBand="0" w:noVBand="1"/>
      </w:tblPr>
      <w:tblGrid>
        <w:gridCol w:w="3417"/>
        <w:gridCol w:w="1374"/>
        <w:gridCol w:w="1773"/>
        <w:gridCol w:w="1531"/>
      </w:tblGrid>
      <w:tr w:rsidR="004F032B" w14:paraId="42A3F9CB" w14:textId="2AAC422A" w:rsidTr="00806222">
        <w:tc>
          <w:tcPr>
            <w:tcW w:w="3417" w:type="dxa"/>
          </w:tcPr>
          <w:p w14:paraId="2816D69E" w14:textId="77777777" w:rsidR="004F032B" w:rsidRDefault="004F032B" w:rsidP="00B41F3F">
            <w:pPr>
              <w:pStyle w:val="BodyTextIndent"/>
              <w:ind w:left="0"/>
            </w:pPr>
          </w:p>
        </w:tc>
        <w:tc>
          <w:tcPr>
            <w:tcW w:w="1374" w:type="dxa"/>
          </w:tcPr>
          <w:p w14:paraId="0F343834" w14:textId="6E95EBDB" w:rsidR="004F032B" w:rsidRDefault="004F032B" w:rsidP="00B41F3F">
            <w:pPr>
              <w:pStyle w:val="BodyTextIndent"/>
              <w:ind w:left="0"/>
              <w:jc w:val="center"/>
            </w:pPr>
            <w:r>
              <w:t>CSC Courses</w:t>
            </w:r>
          </w:p>
        </w:tc>
        <w:tc>
          <w:tcPr>
            <w:tcW w:w="1773" w:type="dxa"/>
          </w:tcPr>
          <w:p w14:paraId="615CDD55" w14:textId="77777777" w:rsidR="004F032B" w:rsidRDefault="004F032B" w:rsidP="00B41F3F">
            <w:pPr>
              <w:pStyle w:val="BodyTextIndent"/>
              <w:ind w:left="0"/>
              <w:jc w:val="center"/>
            </w:pPr>
            <w:r>
              <w:t>Arts and Sciences</w:t>
            </w:r>
          </w:p>
        </w:tc>
        <w:tc>
          <w:tcPr>
            <w:tcW w:w="1531" w:type="dxa"/>
          </w:tcPr>
          <w:p w14:paraId="2D73107D" w14:textId="3CA8CA1A" w:rsidR="004F032B" w:rsidRDefault="004F032B" w:rsidP="00B41F3F">
            <w:pPr>
              <w:pStyle w:val="BodyTextIndent"/>
              <w:ind w:left="0"/>
              <w:jc w:val="center"/>
            </w:pPr>
            <w:r>
              <w:t>Percent Different</w:t>
            </w:r>
          </w:p>
        </w:tc>
      </w:tr>
      <w:tr w:rsidR="004F032B" w14:paraId="0CC5C055" w14:textId="324C4CF9" w:rsidTr="00806222">
        <w:tc>
          <w:tcPr>
            <w:tcW w:w="3417" w:type="dxa"/>
          </w:tcPr>
          <w:p w14:paraId="27B2BA83" w14:textId="77777777" w:rsidR="004F032B" w:rsidRDefault="004F032B" w:rsidP="00B41F3F">
            <w:pPr>
              <w:pStyle w:val="BodyTextIndent"/>
              <w:ind w:left="0"/>
            </w:pPr>
            <w:r>
              <w:t>On Time and Prepared</w:t>
            </w:r>
          </w:p>
        </w:tc>
        <w:tc>
          <w:tcPr>
            <w:tcW w:w="1374" w:type="dxa"/>
          </w:tcPr>
          <w:p w14:paraId="0EA9FE4C" w14:textId="064548C0" w:rsidR="004F032B" w:rsidRDefault="004F032B" w:rsidP="00B41F3F">
            <w:pPr>
              <w:pStyle w:val="BodyTextIndent"/>
              <w:ind w:left="0"/>
              <w:jc w:val="center"/>
            </w:pPr>
            <w:r>
              <w:t>4.4</w:t>
            </w:r>
          </w:p>
        </w:tc>
        <w:tc>
          <w:tcPr>
            <w:tcW w:w="1773" w:type="dxa"/>
          </w:tcPr>
          <w:p w14:paraId="2A8D60C2" w14:textId="69540215" w:rsidR="004F032B" w:rsidRDefault="004F032B" w:rsidP="00B41F3F">
            <w:pPr>
              <w:pStyle w:val="BodyTextIndent"/>
              <w:ind w:left="0"/>
              <w:jc w:val="center"/>
            </w:pPr>
            <w:r>
              <w:t>4.5</w:t>
            </w:r>
          </w:p>
        </w:tc>
        <w:tc>
          <w:tcPr>
            <w:tcW w:w="1531" w:type="dxa"/>
          </w:tcPr>
          <w:p w14:paraId="3431C3D3" w14:textId="4328DA3D" w:rsidR="004F032B" w:rsidRDefault="00763855" w:rsidP="00B41F3F">
            <w:pPr>
              <w:pStyle w:val="BodyTextIndent"/>
              <w:ind w:left="0"/>
              <w:jc w:val="center"/>
            </w:pPr>
            <w:r>
              <w:t>-2.2%</w:t>
            </w:r>
          </w:p>
        </w:tc>
      </w:tr>
      <w:tr w:rsidR="004F032B" w14:paraId="6DBFA240" w14:textId="7432478C" w:rsidTr="00806222">
        <w:tc>
          <w:tcPr>
            <w:tcW w:w="3417" w:type="dxa"/>
          </w:tcPr>
          <w:p w14:paraId="3B490351" w14:textId="6CA9E023" w:rsidR="004F032B" w:rsidRDefault="004F032B" w:rsidP="00B41F3F">
            <w:pPr>
              <w:pStyle w:val="BodyTextIndent"/>
              <w:ind w:left="0"/>
            </w:pPr>
            <w:r>
              <w:t>Communicates Clearly</w:t>
            </w:r>
          </w:p>
        </w:tc>
        <w:tc>
          <w:tcPr>
            <w:tcW w:w="1374" w:type="dxa"/>
          </w:tcPr>
          <w:p w14:paraId="7B110281" w14:textId="4DE9F1E3" w:rsidR="004F032B" w:rsidRDefault="004F032B" w:rsidP="00B41F3F">
            <w:pPr>
              <w:pStyle w:val="BodyTextIndent"/>
              <w:ind w:left="0"/>
              <w:jc w:val="center"/>
            </w:pPr>
            <w:r>
              <w:t>3.9</w:t>
            </w:r>
          </w:p>
        </w:tc>
        <w:tc>
          <w:tcPr>
            <w:tcW w:w="1773" w:type="dxa"/>
          </w:tcPr>
          <w:p w14:paraId="569A0506" w14:textId="204ED770" w:rsidR="004F032B" w:rsidRDefault="004F032B" w:rsidP="00B41F3F">
            <w:pPr>
              <w:pStyle w:val="BodyTextIndent"/>
              <w:ind w:left="0"/>
              <w:jc w:val="center"/>
            </w:pPr>
            <w:r>
              <w:t>4.2</w:t>
            </w:r>
          </w:p>
        </w:tc>
        <w:tc>
          <w:tcPr>
            <w:tcW w:w="1531" w:type="dxa"/>
          </w:tcPr>
          <w:p w14:paraId="47EFB427" w14:textId="041EE33B" w:rsidR="004F032B" w:rsidRDefault="00763855" w:rsidP="00B41F3F">
            <w:pPr>
              <w:pStyle w:val="BodyTextIndent"/>
              <w:ind w:left="0"/>
              <w:jc w:val="center"/>
            </w:pPr>
            <w:r>
              <w:t>-7.1%</w:t>
            </w:r>
          </w:p>
        </w:tc>
      </w:tr>
      <w:tr w:rsidR="004F032B" w14:paraId="491E18CA" w14:textId="51DF2464" w:rsidTr="00806222">
        <w:tc>
          <w:tcPr>
            <w:tcW w:w="3417" w:type="dxa"/>
          </w:tcPr>
          <w:p w14:paraId="197025CB" w14:textId="77777777" w:rsidR="004F032B" w:rsidRDefault="004F032B" w:rsidP="00B41F3F">
            <w:pPr>
              <w:pStyle w:val="BodyTextIndent"/>
              <w:ind w:left="0"/>
            </w:pPr>
            <w:r>
              <w:t>Uses a Variety of Teaching Techniques</w:t>
            </w:r>
          </w:p>
        </w:tc>
        <w:tc>
          <w:tcPr>
            <w:tcW w:w="1374" w:type="dxa"/>
          </w:tcPr>
          <w:p w14:paraId="7E6696F6" w14:textId="62EDED15" w:rsidR="004F032B" w:rsidRDefault="004F032B" w:rsidP="00B41F3F">
            <w:pPr>
              <w:pStyle w:val="BodyTextIndent"/>
              <w:ind w:left="0"/>
              <w:jc w:val="center"/>
            </w:pPr>
            <w:r>
              <w:t>3.8</w:t>
            </w:r>
          </w:p>
        </w:tc>
        <w:tc>
          <w:tcPr>
            <w:tcW w:w="1773" w:type="dxa"/>
          </w:tcPr>
          <w:p w14:paraId="40BA60BD" w14:textId="1C2C1C16" w:rsidR="004F032B" w:rsidRDefault="004F032B" w:rsidP="00B41F3F">
            <w:pPr>
              <w:pStyle w:val="BodyTextIndent"/>
              <w:ind w:left="0"/>
              <w:jc w:val="center"/>
            </w:pPr>
            <w:r>
              <w:t>4.1</w:t>
            </w:r>
          </w:p>
        </w:tc>
        <w:tc>
          <w:tcPr>
            <w:tcW w:w="1531" w:type="dxa"/>
          </w:tcPr>
          <w:p w14:paraId="78840391" w14:textId="0D209026" w:rsidR="004F032B" w:rsidRDefault="00763855" w:rsidP="00B41F3F">
            <w:pPr>
              <w:pStyle w:val="BodyTextIndent"/>
              <w:ind w:left="0"/>
              <w:jc w:val="center"/>
            </w:pPr>
            <w:r>
              <w:t>-7.3%</w:t>
            </w:r>
          </w:p>
        </w:tc>
      </w:tr>
      <w:tr w:rsidR="004F032B" w14:paraId="77EDFBB6" w14:textId="7B89B973" w:rsidTr="00806222">
        <w:tc>
          <w:tcPr>
            <w:tcW w:w="3417" w:type="dxa"/>
          </w:tcPr>
          <w:p w14:paraId="22A9C6F7" w14:textId="77777777" w:rsidR="004F032B" w:rsidRDefault="004F032B" w:rsidP="00B41F3F">
            <w:pPr>
              <w:pStyle w:val="BodyTextIndent"/>
              <w:ind w:left="0"/>
            </w:pPr>
            <w:r>
              <w:t>Actively Engage My Learning</w:t>
            </w:r>
          </w:p>
        </w:tc>
        <w:tc>
          <w:tcPr>
            <w:tcW w:w="1374" w:type="dxa"/>
          </w:tcPr>
          <w:p w14:paraId="6642B371" w14:textId="08F52BA6" w:rsidR="004F032B" w:rsidRDefault="004F032B" w:rsidP="00B41F3F">
            <w:pPr>
              <w:pStyle w:val="BodyTextIndent"/>
              <w:ind w:left="0"/>
              <w:jc w:val="center"/>
            </w:pPr>
            <w:r>
              <w:t>3.8</w:t>
            </w:r>
          </w:p>
        </w:tc>
        <w:tc>
          <w:tcPr>
            <w:tcW w:w="1773" w:type="dxa"/>
          </w:tcPr>
          <w:p w14:paraId="27EADB5B" w14:textId="4B328EA0" w:rsidR="004F032B" w:rsidRDefault="004F032B" w:rsidP="00B41F3F">
            <w:pPr>
              <w:pStyle w:val="BodyTextIndent"/>
              <w:ind w:left="0"/>
              <w:jc w:val="center"/>
            </w:pPr>
            <w:r>
              <w:t>4.1</w:t>
            </w:r>
          </w:p>
        </w:tc>
        <w:tc>
          <w:tcPr>
            <w:tcW w:w="1531" w:type="dxa"/>
          </w:tcPr>
          <w:p w14:paraId="6D9C60A5" w14:textId="0ADDE3A9" w:rsidR="004F032B" w:rsidRDefault="00763855" w:rsidP="00B41F3F">
            <w:pPr>
              <w:pStyle w:val="BodyTextIndent"/>
              <w:ind w:left="0"/>
              <w:jc w:val="center"/>
            </w:pPr>
            <w:r>
              <w:t>-7.3%</w:t>
            </w:r>
          </w:p>
        </w:tc>
      </w:tr>
      <w:tr w:rsidR="004F032B" w14:paraId="150F8B6C" w14:textId="23347B20" w:rsidTr="00806222">
        <w:tc>
          <w:tcPr>
            <w:tcW w:w="3417" w:type="dxa"/>
          </w:tcPr>
          <w:p w14:paraId="7FDE6428" w14:textId="77777777" w:rsidR="004F032B" w:rsidRDefault="004F032B" w:rsidP="00B41F3F">
            <w:pPr>
              <w:pStyle w:val="BodyTextIndent"/>
              <w:ind w:left="0"/>
            </w:pPr>
            <w:r>
              <w:t>Aware of Instructor’s Performance Expectations</w:t>
            </w:r>
          </w:p>
        </w:tc>
        <w:tc>
          <w:tcPr>
            <w:tcW w:w="1374" w:type="dxa"/>
          </w:tcPr>
          <w:p w14:paraId="11B55A3B" w14:textId="2F2744C8" w:rsidR="004F032B" w:rsidRDefault="004F032B" w:rsidP="00B41F3F">
            <w:pPr>
              <w:pStyle w:val="BodyTextIndent"/>
              <w:ind w:left="0"/>
              <w:jc w:val="center"/>
            </w:pPr>
            <w:r>
              <w:t>3.8</w:t>
            </w:r>
          </w:p>
        </w:tc>
        <w:tc>
          <w:tcPr>
            <w:tcW w:w="1773" w:type="dxa"/>
          </w:tcPr>
          <w:p w14:paraId="75533B1C" w14:textId="1E15C638" w:rsidR="004F032B" w:rsidRDefault="004F032B" w:rsidP="00B41F3F">
            <w:pPr>
              <w:pStyle w:val="BodyTextIndent"/>
              <w:ind w:left="0"/>
              <w:jc w:val="center"/>
            </w:pPr>
            <w:r>
              <w:t>4.1</w:t>
            </w:r>
          </w:p>
        </w:tc>
        <w:tc>
          <w:tcPr>
            <w:tcW w:w="1531" w:type="dxa"/>
          </w:tcPr>
          <w:p w14:paraId="2F6444BB" w14:textId="28416281" w:rsidR="004F032B" w:rsidRDefault="00763855" w:rsidP="00B41F3F">
            <w:pPr>
              <w:pStyle w:val="BodyTextIndent"/>
              <w:ind w:left="0"/>
              <w:jc w:val="center"/>
            </w:pPr>
            <w:r>
              <w:t>-4.5%</w:t>
            </w:r>
          </w:p>
        </w:tc>
      </w:tr>
      <w:tr w:rsidR="00763855" w14:paraId="6886CF6F" w14:textId="34AD8610" w:rsidTr="00806222">
        <w:tc>
          <w:tcPr>
            <w:tcW w:w="3417" w:type="dxa"/>
          </w:tcPr>
          <w:p w14:paraId="10647798" w14:textId="20C4B03D" w:rsidR="00763855" w:rsidRDefault="00763855" w:rsidP="00B41F3F">
            <w:pPr>
              <w:pStyle w:val="BodyTextIndent"/>
              <w:ind w:left="0"/>
            </w:pPr>
            <w:r>
              <w:t>Demonstrates Mastery</w:t>
            </w:r>
          </w:p>
        </w:tc>
        <w:tc>
          <w:tcPr>
            <w:tcW w:w="1374" w:type="dxa"/>
          </w:tcPr>
          <w:p w14:paraId="794CAF06" w14:textId="706DC91C" w:rsidR="00763855" w:rsidRDefault="00763855" w:rsidP="00B41F3F">
            <w:pPr>
              <w:pStyle w:val="BodyTextIndent"/>
              <w:ind w:left="0"/>
              <w:jc w:val="center"/>
            </w:pPr>
            <w:r>
              <w:t>4.3</w:t>
            </w:r>
          </w:p>
        </w:tc>
        <w:tc>
          <w:tcPr>
            <w:tcW w:w="1773" w:type="dxa"/>
          </w:tcPr>
          <w:p w14:paraId="0DE36AD9" w14:textId="44985B13" w:rsidR="00763855" w:rsidRDefault="00763855" w:rsidP="00B41F3F">
            <w:pPr>
              <w:pStyle w:val="BodyTextIndent"/>
              <w:ind w:left="0"/>
              <w:jc w:val="center"/>
            </w:pPr>
            <w:r>
              <w:t>4.5</w:t>
            </w:r>
          </w:p>
        </w:tc>
        <w:tc>
          <w:tcPr>
            <w:tcW w:w="1531" w:type="dxa"/>
          </w:tcPr>
          <w:p w14:paraId="7FFCDC44" w14:textId="04B2E9A0" w:rsidR="00763855" w:rsidRDefault="00763855" w:rsidP="00B41F3F">
            <w:pPr>
              <w:pStyle w:val="BodyTextIndent"/>
              <w:ind w:left="0"/>
              <w:jc w:val="center"/>
            </w:pPr>
            <w:r>
              <w:t>-4.4%</w:t>
            </w:r>
          </w:p>
        </w:tc>
      </w:tr>
      <w:tr w:rsidR="00763855" w14:paraId="51D57040" w14:textId="229B0F58" w:rsidTr="00806222">
        <w:tc>
          <w:tcPr>
            <w:tcW w:w="3417" w:type="dxa"/>
          </w:tcPr>
          <w:p w14:paraId="16D0D5E7" w14:textId="019B763E" w:rsidR="00763855" w:rsidRDefault="00763855" w:rsidP="00B41F3F">
            <w:pPr>
              <w:pStyle w:val="BodyTextIndent"/>
              <w:ind w:left="0"/>
            </w:pPr>
            <w:r>
              <w:t>Recommend This Course</w:t>
            </w:r>
          </w:p>
        </w:tc>
        <w:tc>
          <w:tcPr>
            <w:tcW w:w="1374" w:type="dxa"/>
          </w:tcPr>
          <w:p w14:paraId="64AACD11" w14:textId="45F7BFB0" w:rsidR="00763855" w:rsidRDefault="00763855" w:rsidP="00B41F3F">
            <w:pPr>
              <w:pStyle w:val="BodyTextIndent"/>
              <w:ind w:left="0"/>
              <w:jc w:val="center"/>
            </w:pPr>
            <w:r>
              <w:t>0.8</w:t>
            </w:r>
          </w:p>
        </w:tc>
        <w:tc>
          <w:tcPr>
            <w:tcW w:w="1773" w:type="dxa"/>
          </w:tcPr>
          <w:p w14:paraId="0789F054" w14:textId="20C1EE7D" w:rsidR="00763855" w:rsidRDefault="00763855" w:rsidP="00B41F3F">
            <w:pPr>
              <w:pStyle w:val="BodyTextIndent"/>
              <w:ind w:left="0"/>
              <w:jc w:val="center"/>
            </w:pPr>
            <w:r>
              <w:t>0.8</w:t>
            </w:r>
          </w:p>
        </w:tc>
        <w:tc>
          <w:tcPr>
            <w:tcW w:w="1531" w:type="dxa"/>
          </w:tcPr>
          <w:p w14:paraId="31A87983" w14:textId="20F82B1A" w:rsidR="00763855" w:rsidRDefault="00763855" w:rsidP="00B41F3F">
            <w:pPr>
              <w:pStyle w:val="BodyTextIndent"/>
              <w:ind w:left="0"/>
              <w:jc w:val="center"/>
            </w:pPr>
            <w:r>
              <w:t>0%</w:t>
            </w:r>
          </w:p>
        </w:tc>
      </w:tr>
    </w:tbl>
    <w:p w14:paraId="0A4A7365" w14:textId="77777777" w:rsidR="004F032B" w:rsidRDefault="004F032B" w:rsidP="00763855">
      <w:pPr>
        <w:pStyle w:val="BodyTextIndent"/>
        <w:ind w:left="1080"/>
      </w:pPr>
      <w:r>
        <w:t xml:space="preserve"> </w:t>
      </w:r>
    </w:p>
    <w:p w14:paraId="65399DD7" w14:textId="77777777" w:rsidR="004F032B" w:rsidRDefault="004F032B" w:rsidP="00763855">
      <w:pPr>
        <w:pStyle w:val="BodyTextIndent"/>
        <w:ind w:left="1080"/>
      </w:pPr>
    </w:p>
    <w:p w14:paraId="6E692B20" w14:textId="1829BC92" w:rsidR="004F032B" w:rsidRDefault="00FD5C26" w:rsidP="00763855">
      <w:pPr>
        <w:pStyle w:val="BodyTextIndent"/>
        <w:ind w:left="1080"/>
      </w:pPr>
      <w:r>
        <w:t>It is difficult to assess why CSC courses score less than the overall LA&amp;S courses. One reason might that they require significantly more time for students (about 15% more time overall (2.2 vs 1.9 hours/week). Another reason might be the nature of rapidly changing field. Techno</w:t>
      </w:r>
      <w:r w:rsidR="006319C6">
        <w:t>logy instruction must continually evolve</w:t>
      </w:r>
      <w:r>
        <w:t xml:space="preserve"> to new technologies and techniques as the field rapidly </w:t>
      </w:r>
      <w:r w:rsidR="006319C6">
        <w:t>changes</w:t>
      </w:r>
      <w:r w:rsidR="00A83EE0">
        <w:t>. Yet a</w:t>
      </w:r>
      <w:r>
        <w:t xml:space="preserve">nother reason might be difference between individual professors and the many adjuncts we employ. Still another rationale might be how adaptable the CSC faculty </w:t>
      </w:r>
      <w:r w:rsidR="006319C6">
        <w:t>must be with our limited resources</w:t>
      </w:r>
      <w:r>
        <w:t xml:space="preserve">. For example, in 3 years </w:t>
      </w:r>
      <w:r w:rsidR="00A83EE0">
        <w:t xml:space="preserve">as a </w:t>
      </w:r>
      <w:r>
        <w:t xml:space="preserve">full time </w:t>
      </w:r>
      <w:r w:rsidR="00A83EE0">
        <w:t xml:space="preserve">faculty </w:t>
      </w:r>
      <w:r>
        <w:t xml:space="preserve">at AU, I have taught every class in the required curriculum </w:t>
      </w:r>
      <w:r w:rsidR="006319C6">
        <w:t xml:space="preserve">plus 3 different electives, </w:t>
      </w:r>
      <w:r>
        <w:t>developed 2 new co</w:t>
      </w:r>
      <w:r w:rsidR="006319C6">
        <w:t xml:space="preserve">urses from scratch and completely rewrote CSC1700 to change its core technology. </w:t>
      </w:r>
      <w:r>
        <w:t xml:space="preserve">  It would be instructive to investigate these </w:t>
      </w:r>
      <w:r w:rsidR="00A83EE0">
        <w:t xml:space="preserve">the impact of these </w:t>
      </w:r>
      <w:r>
        <w:t xml:space="preserve">areas </w:t>
      </w:r>
      <w:r w:rsidR="00A83EE0">
        <w:t xml:space="preserve">on the quality of instructor in more depth. </w:t>
      </w:r>
    </w:p>
    <w:p w14:paraId="1433E085" w14:textId="2538F9A0" w:rsidR="00BF1113" w:rsidRDefault="00BF1113" w:rsidP="00763855">
      <w:pPr>
        <w:pStyle w:val="BodyTextIndent"/>
        <w:ind w:left="1080"/>
      </w:pPr>
    </w:p>
    <w:p w14:paraId="15CD4884" w14:textId="7F63BE2D" w:rsidR="00BF1113" w:rsidRDefault="00BF1113" w:rsidP="00763855">
      <w:pPr>
        <w:pStyle w:val="BodyTextIndent"/>
        <w:ind w:left="1080"/>
      </w:pPr>
    </w:p>
    <w:p w14:paraId="3083B677" w14:textId="47FBBF48" w:rsidR="00BF1113" w:rsidRDefault="00BF1113" w:rsidP="00763855">
      <w:pPr>
        <w:pStyle w:val="BodyTextIndent"/>
        <w:ind w:left="1080"/>
      </w:pPr>
    </w:p>
    <w:p w14:paraId="1FE61502" w14:textId="58C0BE20" w:rsidR="00BF1113" w:rsidRDefault="00BF1113" w:rsidP="00763855">
      <w:pPr>
        <w:pStyle w:val="BodyTextIndent"/>
        <w:ind w:left="1080"/>
      </w:pPr>
    </w:p>
    <w:p w14:paraId="754AA7A4" w14:textId="4C0E2C7F" w:rsidR="00BF1113" w:rsidRDefault="00BF1113" w:rsidP="00763855">
      <w:pPr>
        <w:pStyle w:val="BodyTextIndent"/>
        <w:ind w:left="1080"/>
      </w:pPr>
    </w:p>
    <w:p w14:paraId="56CDEFF5" w14:textId="71A0D3E4" w:rsidR="00BF1113" w:rsidRDefault="00BF1113" w:rsidP="00763855">
      <w:pPr>
        <w:pStyle w:val="BodyTextIndent"/>
        <w:ind w:left="1080"/>
      </w:pPr>
      <w:r>
        <w:lastRenderedPageBreak/>
        <w:t>If we look at the 3 full-t</w:t>
      </w:r>
      <w:r w:rsidR="00B41F3F">
        <w:t>ime professors with more than 9 or more</w:t>
      </w:r>
      <w:r>
        <w:t xml:space="preserve"> courses taught during the period, we see large variation in the quality of instruction. </w:t>
      </w:r>
    </w:p>
    <w:p w14:paraId="234DE34C" w14:textId="449AD118" w:rsidR="003D1CEE" w:rsidRDefault="003D1CEE" w:rsidP="00763855">
      <w:pPr>
        <w:pStyle w:val="BodyTextIndent"/>
        <w:ind w:left="1080"/>
      </w:pPr>
    </w:p>
    <w:p w14:paraId="02546ACD" w14:textId="150A7DA4" w:rsidR="00BF1113" w:rsidRPr="00BF1113" w:rsidRDefault="00BF1113" w:rsidP="00763855">
      <w:pPr>
        <w:pStyle w:val="BodyTextIndent"/>
        <w:ind w:left="1080"/>
        <w:rPr>
          <w:b/>
        </w:rPr>
      </w:pPr>
      <w:r>
        <w:t xml:space="preserve">Table 3. Smart Evaluation Results By </w:t>
      </w:r>
      <w:r w:rsidR="00E21A57">
        <w:t>Full-Time Professor (with &gt;= 9 CSC courses)</w:t>
      </w:r>
    </w:p>
    <w:p w14:paraId="412DD0B1" w14:textId="77777777" w:rsidR="003D1CEE" w:rsidRDefault="003D1CEE" w:rsidP="00763855">
      <w:pPr>
        <w:pStyle w:val="BodyTextIndent"/>
        <w:ind w:left="1080"/>
      </w:pPr>
    </w:p>
    <w:tbl>
      <w:tblPr>
        <w:tblStyle w:val="TableGrid"/>
        <w:tblW w:w="0" w:type="auto"/>
        <w:tblInd w:w="895" w:type="dxa"/>
        <w:tblLook w:val="04A0" w:firstRow="1" w:lastRow="0" w:firstColumn="1" w:lastColumn="0" w:noHBand="0" w:noVBand="1"/>
      </w:tblPr>
      <w:tblGrid>
        <w:gridCol w:w="2693"/>
        <w:gridCol w:w="1138"/>
        <w:gridCol w:w="1332"/>
        <w:gridCol w:w="906"/>
        <w:gridCol w:w="859"/>
        <w:gridCol w:w="801"/>
        <w:gridCol w:w="726"/>
      </w:tblGrid>
      <w:tr w:rsidR="00486D8A" w14:paraId="27780046" w14:textId="739792B5" w:rsidTr="00BF1113">
        <w:tc>
          <w:tcPr>
            <w:tcW w:w="2693" w:type="dxa"/>
          </w:tcPr>
          <w:p w14:paraId="5493D483" w14:textId="77777777" w:rsidR="00486D8A" w:rsidRDefault="00486D8A" w:rsidP="00B41F3F">
            <w:pPr>
              <w:pStyle w:val="BodyTextIndent"/>
              <w:ind w:left="0"/>
            </w:pPr>
          </w:p>
        </w:tc>
        <w:tc>
          <w:tcPr>
            <w:tcW w:w="1138" w:type="dxa"/>
          </w:tcPr>
          <w:p w14:paraId="464C881F" w14:textId="4AB7C2C9" w:rsidR="00486D8A" w:rsidRDefault="00BF1113" w:rsidP="00B41F3F">
            <w:pPr>
              <w:pStyle w:val="BodyTextIndent"/>
              <w:ind w:left="0"/>
              <w:jc w:val="center"/>
            </w:pPr>
            <w:r>
              <w:t xml:space="preserve">All </w:t>
            </w:r>
            <w:r w:rsidR="00486D8A">
              <w:t>CSC Courses</w:t>
            </w:r>
          </w:p>
        </w:tc>
        <w:tc>
          <w:tcPr>
            <w:tcW w:w="1332" w:type="dxa"/>
          </w:tcPr>
          <w:p w14:paraId="010EE1A3" w14:textId="77777777" w:rsidR="00486D8A" w:rsidRDefault="00486D8A" w:rsidP="00B41F3F">
            <w:pPr>
              <w:pStyle w:val="BodyTextIndent"/>
              <w:ind w:left="0"/>
              <w:jc w:val="center"/>
            </w:pPr>
            <w:r>
              <w:t>Arts and Sciences</w:t>
            </w:r>
          </w:p>
        </w:tc>
        <w:tc>
          <w:tcPr>
            <w:tcW w:w="906" w:type="dxa"/>
          </w:tcPr>
          <w:p w14:paraId="32F2CB8F" w14:textId="341FB255" w:rsidR="00486D8A" w:rsidRDefault="00486D8A" w:rsidP="00B41F3F">
            <w:pPr>
              <w:pStyle w:val="BodyTextIndent"/>
              <w:ind w:left="0"/>
              <w:jc w:val="center"/>
            </w:pPr>
            <w:r>
              <w:t>P1</w:t>
            </w:r>
          </w:p>
        </w:tc>
        <w:tc>
          <w:tcPr>
            <w:tcW w:w="859" w:type="dxa"/>
          </w:tcPr>
          <w:p w14:paraId="38521F4F" w14:textId="6A7BE978" w:rsidR="00486D8A" w:rsidRDefault="00486D8A" w:rsidP="00B41F3F">
            <w:pPr>
              <w:pStyle w:val="BodyTextIndent"/>
              <w:ind w:left="0"/>
              <w:jc w:val="center"/>
            </w:pPr>
            <w:r>
              <w:t>P2</w:t>
            </w:r>
          </w:p>
        </w:tc>
        <w:tc>
          <w:tcPr>
            <w:tcW w:w="801" w:type="dxa"/>
          </w:tcPr>
          <w:p w14:paraId="4982EC78" w14:textId="4C988180" w:rsidR="00486D8A" w:rsidRDefault="00486D8A" w:rsidP="00B41F3F">
            <w:pPr>
              <w:pStyle w:val="BodyTextIndent"/>
              <w:ind w:left="0"/>
              <w:jc w:val="center"/>
            </w:pPr>
            <w:r>
              <w:t>P3</w:t>
            </w:r>
          </w:p>
        </w:tc>
        <w:tc>
          <w:tcPr>
            <w:tcW w:w="726" w:type="dxa"/>
          </w:tcPr>
          <w:p w14:paraId="18E43067" w14:textId="5CE2A0E8" w:rsidR="00486D8A" w:rsidRDefault="00486D8A" w:rsidP="00B41F3F">
            <w:pPr>
              <w:pStyle w:val="BodyTextIndent"/>
              <w:ind w:left="0"/>
              <w:jc w:val="center"/>
            </w:pPr>
            <w:r>
              <w:t>P4</w:t>
            </w:r>
          </w:p>
        </w:tc>
      </w:tr>
      <w:tr w:rsidR="00486D8A" w14:paraId="1B55872B" w14:textId="0521A2A2" w:rsidTr="00BF1113">
        <w:tc>
          <w:tcPr>
            <w:tcW w:w="2693" w:type="dxa"/>
          </w:tcPr>
          <w:p w14:paraId="41AF3BCF" w14:textId="77777777" w:rsidR="00486D8A" w:rsidRDefault="00486D8A" w:rsidP="00B41F3F">
            <w:pPr>
              <w:pStyle w:val="BodyTextIndent"/>
              <w:ind w:left="0"/>
            </w:pPr>
            <w:r>
              <w:t>On Time and Prepared</w:t>
            </w:r>
          </w:p>
        </w:tc>
        <w:tc>
          <w:tcPr>
            <w:tcW w:w="1138" w:type="dxa"/>
          </w:tcPr>
          <w:p w14:paraId="7A964322" w14:textId="77777777" w:rsidR="00486D8A" w:rsidRDefault="00486D8A" w:rsidP="00B41F3F">
            <w:pPr>
              <w:pStyle w:val="BodyTextIndent"/>
              <w:ind w:left="0"/>
              <w:jc w:val="center"/>
            </w:pPr>
            <w:r>
              <w:t>4.4</w:t>
            </w:r>
          </w:p>
        </w:tc>
        <w:tc>
          <w:tcPr>
            <w:tcW w:w="1332" w:type="dxa"/>
          </w:tcPr>
          <w:p w14:paraId="719A6A15" w14:textId="77777777" w:rsidR="00486D8A" w:rsidRDefault="00486D8A" w:rsidP="00B41F3F">
            <w:pPr>
              <w:pStyle w:val="BodyTextIndent"/>
              <w:ind w:left="0"/>
              <w:jc w:val="center"/>
            </w:pPr>
            <w:r>
              <w:t>4.5</w:t>
            </w:r>
          </w:p>
        </w:tc>
        <w:tc>
          <w:tcPr>
            <w:tcW w:w="906" w:type="dxa"/>
          </w:tcPr>
          <w:p w14:paraId="4BE495D9" w14:textId="2AC79EB7" w:rsidR="00486D8A" w:rsidRDefault="00486D8A" w:rsidP="00B41F3F">
            <w:pPr>
              <w:pStyle w:val="BodyTextIndent"/>
              <w:ind w:left="0"/>
              <w:jc w:val="center"/>
            </w:pPr>
            <w:r>
              <w:t>4.7</w:t>
            </w:r>
          </w:p>
        </w:tc>
        <w:tc>
          <w:tcPr>
            <w:tcW w:w="859" w:type="dxa"/>
          </w:tcPr>
          <w:p w14:paraId="1654D54B" w14:textId="4C34CA2F" w:rsidR="00486D8A" w:rsidRDefault="00486D8A" w:rsidP="00B41F3F">
            <w:pPr>
              <w:pStyle w:val="BodyTextIndent"/>
              <w:ind w:left="0"/>
              <w:jc w:val="center"/>
            </w:pPr>
            <w:r>
              <w:t>4.6</w:t>
            </w:r>
          </w:p>
        </w:tc>
        <w:tc>
          <w:tcPr>
            <w:tcW w:w="801" w:type="dxa"/>
          </w:tcPr>
          <w:p w14:paraId="7AE538CA" w14:textId="43A49754" w:rsidR="00486D8A" w:rsidRPr="00E21A57" w:rsidRDefault="00486D8A" w:rsidP="00B41F3F">
            <w:pPr>
              <w:pStyle w:val="BodyTextIndent"/>
              <w:ind w:left="0"/>
              <w:jc w:val="center"/>
              <w:rPr>
                <w:highlight w:val="yellow"/>
              </w:rPr>
            </w:pPr>
            <w:r w:rsidRPr="00E21A57">
              <w:rPr>
                <w:highlight w:val="yellow"/>
              </w:rPr>
              <w:t>4.0</w:t>
            </w:r>
          </w:p>
        </w:tc>
        <w:tc>
          <w:tcPr>
            <w:tcW w:w="726" w:type="dxa"/>
          </w:tcPr>
          <w:p w14:paraId="00D210E5" w14:textId="77777777" w:rsidR="00486D8A" w:rsidRDefault="00486D8A" w:rsidP="00B41F3F">
            <w:pPr>
              <w:pStyle w:val="BodyTextIndent"/>
              <w:ind w:left="0"/>
              <w:jc w:val="center"/>
            </w:pPr>
            <w:r>
              <w:t>4.8</w:t>
            </w:r>
          </w:p>
          <w:p w14:paraId="7668D1B4" w14:textId="6F6B420E" w:rsidR="00486D8A" w:rsidRDefault="00486D8A" w:rsidP="00B41F3F">
            <w:pPr>
              <w:pStyle w:val="BodyTextIndent"/>
              <w:ind w:left="0"/>
              <w:jc w:val="center"/>
            </w:pPr>
          </w:p>
        </w:tc>
      </w:tr>
      <w:tr w:rsidR="00486D8A" w14:paraId="301F99E2" w14:textId="2E41D0B7" w:rsidTr="00BF1113">
        <w:tc>
          <w:tcPr>
            <w:tcW w:w="2693" w:type="dxa"/>
          </w:tcPr>
          <w:p w14:paraId="3B2F2E39" w14:textId="77777777" w:rsidR="00486D8A" w:rsidRDefault="00486D8A" w:rsidP="00B41F3F">
            <w:pPr>
              <w:pStyle w:val="BodyTextIndent"/>
              <w:ind w:left="0"/>
            </w:pPr>
            <w:r>
              <w:t>Communicates Clearly</w:t>
            </w:r>
          </w:p>
        </w:tc>
        <w:tc>
          <w:tcPr>
            <w:tcW w:w="1138" w:type="dxa"/>
          </w:tcPr>
          <w:p w14:paraId="1C0D23FD" w14:textId="77777777" w:rsidR="00486D8A" w:rsidRDefault="00486D8A" w:rsidP="00B41F3F">
            <w:pPr>
              <w:pStyle w:val="BodyTextIndent"/>
              <w:ind w:left="0"/>
              <w:jc w:val="center"/>
            </w:pPr>
            <w:r>
              <w:t>3.9</w:t>
            </w:r>
          </w:p>
        </w:tc>
        <w:tc>
          <w:tcPr>
            <w:tcW w:w="1332" w:type="dxa"/>
          </w:tcPr>
          <w:p w14:paraId="3F2A6E3D" w14:textId="77777777" w:rsidR="00486D8A" w:rsidRDefault="00486D8A" w:rsidP="00B41F3F">
            <w:pPr>
              <w:pStyle w:val="BodyTextIndent"/>
              <w:ind w:left="0"/>
              <w:jc w:val="center"/>
            </w:pPr>
            <w:r>
              <w:t>4.2</w:t>
            </w:r>
          </w:p>
        </w:tc>
        <w:tc>
          <w:tcPr>
            <w:tcW w:w="906" w:type="dxa"/>
          </w:tcPr>
          <w:p w14:paraId="59D3DF05" w14:textId="32F02F6A" w:rsidR="00486D8A" w:rsidRDefault="00486D8A" w:rsidP="00B41F3F">
            <w:pPr>
              <w:pStyle w:val="BodyTextIndent"/>
              <w:ind w:left="0"/>
              <w:jc w:val="center"/>
            </w:pPr>
            <w:r>
              <w:t>5.2</w:t>
            </w:r>
          </w:p>
        </w:tc>
        <w:tc>
          <w:tcPr>
            <w:tcW w:w="859" w:type="dxa"/>
          </w:tcPr>
          <w:p w14:paraId="1573B697" w14:textId="65B8B21E" w:rsidR="00486D8A" w:rsidRDefault="00486D8A" w:rsidP="00B41F3F">
            <w:pPr>
              <w:pStyle w:val="BodyTextIndent"/>
              <w:ind w:left="0"/>
              <w:jc w:val="center"/>
            </w:pPr>
            <w:r>
              <w:t>4.4</w:t>
            </w:r>
          </w:p>
        </w:tc>
        <w:tc>
          <w:tcPr>
            <w:tcW w:w="801" w:type="dxa"/>
          </w:tcPr>
          <w:p w14:paraId="65002588" w14:textId="60A2AE73" w:rsidR="00486D8A" w:rsidRPr="00E21A57" w:rsidRDefault="00486D8A" w:rsidP="00B41F3F">
            <w:pPr>
              <w:pStyle w:val="BodyTextIndent"/>
              <w:ind w:left="0"/>
              <w:jc w:val="center"/>
              <w:rPr>
                <w:highlight w:val="yellow"/>
              </w:rPr>
            </w:pPr>
            <w:r w:rsidRPr="00E21A57">
              <w:rPr>
                <w:highlight w:val="yellow"/>
              </w:rPr>
              <w:t>2.9</w:t>
            </w:r>
          </w:p>
        </w:tc>
        <w:tc>
          <w:tcPr>
            <w:tcW w:w="726" w:type="dxa"/>
          </w:tcPr>
          <w:p w14:paraId="2DF0CCBB" w14:textId="5C13DAF3" w:rsidR="00486D8A" w:rsidRDefault="00486D8A" w:rsidP="00B41F3F">
            <w:pPr>
              <w:pStyle w:val="BodyTextIndent"/>
              <w:ind w:left="0"/>
              <w:jc w:val="center"/>
            </w:pPr>
            <w:r>
              <w:t>4.5</w:t>
            </w:r>
          </w:p>
        </w:tc>
      </w:tr>
      <w:tr w:rsidR="00486D8A" w14:paraId="4D13B126" w14:textId="09EAEA05" w:rsidTr="00BF1113">
        <w:tc>
          <w:tcPr>
            <w:tcW w:w="2693" w:type="dxa"/>
          </w:tcPr>
          <w:p w14:paraId="475F4F7D" w14:textId="77777777" w:rsidR="00486D8A" w:rsidRDefault="00486D8A" w:rsidP="00B41F3F">
            <w:pPr>
              <w:pStyle w:val="BodyTextIndent"/>
              <w:ind w:left="0"/>
            </w:pPr>
            <w:r>
              <w:t>Uses a Variety of Teaching Techniques</w:t>
            </w:r>
          </w:p>
        </w:tc>
        <w:tc>
          <w:tcPr>
            <w:tcW w:w="1138" w:type="dxa"/>
          </w:tcPr>
          <w:p w14:paraId="2E7946D4" w14:textId="77777777" w:rsidR="00486D8A" w:rsidRDefault="00486D8A" w:rsidP="00B41F3F">
            <w:pPr>
              <w:pStyle w:val="BodyTextIndent"/>
              <w:ind w:left="0"/>
              <w:jc w:val="center"/>
            </w:pPr>
            <w:r>
              <w:t>3.8</w:t>
            </w:r>
          </w:p>
        </w:tc>
        <w:tc>
          <w:tcPr>
            <w:tcW w:w="1332" w:type="dxa"/>
          </w:tcPr>
          <w:p w14:paraId="7D9EF360" w14:textId="77777777" w:rsidR="00486D8A" w:rsidRDefault="00486D8A" w:rsidP="00B41F3F">
            <w:pPr>
              <w:pStyle w:val="BodyTextIndent"/>
              <w:ind w:left="0"/>
              <w:jc w:val="center"/>
            </w:pPr>
            <w:r>
              <w:t>4.1</w:t>
            </w:r>
          </w:p>
        </w:tc>
        <w:tc>
          <w:tcPr>
            <w:tcW w:w="906" w:type="dxa"/>
          </w:tcPr>
          <w:p w14:paraId="55EBAB33" w14:textId="7B6C5ACD" w:rsidR="00486D8A" w:rsidRDefault="00486D8A" w:rsidP="00B41F3F">
            <w:pPr>
              <w:pStyle w:val="BodyTextIndent"/>
              <w:ind w:left="0"/>
              <w:jc w:val="center"/>
            </w:pPr>
            <w:r>
              <w:t>5.2</w:t>
            </w:r>
          </w:p>
        </w:tc>
        <w:tc>
          <w:tcPr>
            <w:tcW w:w="859" w:type="dxa"/>
          </w:tcPr>
          <w:p w14:paraId="44207E3E" w14:textId="768B1FAC" w:rsidR="00486D8A" w:rsidRDefault="00486D8A" w:rsidP="00B41F3F">
            <w:pPr>
              <w:pStyle w:val="BodyTextIndent"/>
              <w:ind w:left="0"/>
              <w:jc w:val="center"/>
            </w:pPr>
            <w:r>
              <w:t>4.1</w:t>
            </w:r>
          </w:p>
        </w:tc>
        <w:tc>
          <w:tcPr>
            <w:tcW w:w="801" w:type="dxa"/>
          </w:tcPr>
          <w:p w14:paraId="6C666FDF" w14:textId="40CB5D84" w:rsidR="00486D8A" w:rsidRPr="00E21A57" w:rsidRDefault="00486D8A" w:rsidP="00B41F3F">
            <w:pPr>
              <w:pStyle w:val="BodyTextIndent"/>
              <w:ind w:left="0"/>
              <w:jc w:val="center"/>
              <w:rPr>
                <w:highlight w:val="yellow"/>
              </w:rPr>
            </w:pPr>
            <w:r w:rsidRPr="00E21A57">
              <w:rPr>
                <w:highlight w:val="yellow"/>
              </w:rPr>
              <w:t>3.0</w:t>
            </w:r>
          </w:p>
        </w:tc>
        <w:tc>
          <w:tcPr>
            <w:tcW w:w="726" w:type="dxa"/>
          </w:tcPr>
          <w:p w14:paraId="45FF0B9B" w14:textId="77777777" w:rsidR="00486D8A" w:rsidRDefault="00486D8A" w:rsidP="00B41F3F">
            <w:pPr>
              <w:pStyle w:val="BodyTextIndent"/>
              <w:ind w:left="0"/>
              <w:jc w:val="center"/>
            </w:pPr>
            <w:r>
              <w:t>4.5</w:t>
            </w:r>
          </w:p>
          <w:p w14:paraId="14206B41" w14:textId="198CB4C1" w:rsidR="00486D8A" w:rsidRDefault="00486D8A" w:rsidP="00B41F3F">
            <w:pPr>
              <w:pStyle w:val="BodyTextIndent"/>
              <w:ind w:left="0"/>
              <w:jc w:val="center"/>
            </w:pPr>
          </w:p>
        </w:tc>
      </w:tr>
      <w:tr w:rsidR="00486D8A" w14:paraId="1D6EAC55" w14:textId="3ABF6140" w:rsidTr="00BF1113">
        <w:tc>
          <w:tcPr>
            <w:tcW w:w="2693" w:type="dxa"/>
          </w:tcPr>
          <w:p w14:paraId="077FCEAF" w14:textId="77777777" w:rsidR="00486D8A" w:rsidRDefault="00486D8A" w:rsidP="00B41F3F">
            <w:pPr>
              <w:pStyle w:val="BodyTextIndent"/>
              <w:ind w:left="0"/>
            </w:pPr>
            <w:r>
              <w:t>Actively Engage My Learning</w:t>
            </w:r>
          </w:p>
        </w:tc>
        <w:tc>
          <w:tcPr>
            <w:tcW w:w="1138" w:type="dxa"/>
          </w:tcPr>
          <w:p w14:paraId="4D28B4D0" w14:textId="77777777" w:rsidR="00486D8A" w:rsidRDefault="00486D8A" w:rsidP="00B41F3F">
            <w:pPr>
              <w:pStyle w:val="BodyTextIndent"/>
              <w:ind w:left="0"/>
              <w:jc w:val="center"/>
            </w:pPr>
            <w:r>
              <w:t>3.8</w:t>
            </w:r>
          </w:p>
        </w:tc>
        <w:tc>
          <w:tcPr>
            <w:tcW w:w="1332" w:type="dxa"/>
          </w:tcPr>
          <w:p w14:paraId="2DAD73F8" w14:textId="77777777" w:rsidR="00486D8A" w:rsidRDefault="00486D8A" w:rsidP="00B41F3F">
            <w:pPr>
              <w:pStyle w:val="BodyTextIndent"/>
              <w:ind w:left="0"/>
              <w:jc w:val="center"/>
            </w:pPr>
            <w:r>
              <w:t>4.1</w:t>
            </w:r>
          </w:p>
        </w:tc>
        <w:tc>
          <w:tcPr>
            <w:tcW w:w="906" w:type="dxa"/>
          </w:tcPr>
          <w:p w14:paraId="7246B3DA" w14:textId="00B864CF" w:rsidR="00486D8A" w:rsidRDefault="00486D8A" w:rsidP="00B41F3F">
            <w:pPr>
              <w:pStyle w:val="BodyTextIndent"/>
              <w:ind w:left="0"/>
              <w:jc w:val="center"/>
            </w:pPr>
            <w:r>
              <w:t>5</w:t>
            </w:r>
          </w:p>
        </w:tc>
        <w:tc>
          <w:tcPr>
            <w:tcW w:w="859" w:type="dxa"/>
          </w:tcPr>
          <w:p w14:paraId="36631657" w14:textId="2EE6C3CA" w:rsidR="00486D8A" w:rsidRDefault="00486D8A" w:rsidP="00B41F3F">
            <w:pPr>
              <w:pStyle w:val="BodyTextIndent"/>
              <w:ind w:left="0"/>
              <w:jc w:val="center"/>
            </w:pPr>
            <w:r>
              <w:t>4.0</w:t>
            </w:r>
          </w:p>
        </w:tc>
        <w:tc>
          <w:tcPr>
            <w:tcW w:w="801" w:type="dxa"/>
          </w:tcPr>
          <w:p w14:paraId="67A7EA2D" w14:textId="5CA09219" w:rsidR="00486D8A" w:rsidRPr="00E21A57" w:rsidRDefault="00486D8A" w:rsidP="00B41F3F">
            <w:pPr>
              <w:pStyle w:val="BodyTextIndent"/>
              <w:ind w:left="0"/>
              <w:jc w:val="center"/>
              <w:rPr>
                <w:highlight w:val="yellow"/>
              </w:rPr>
            </w:pPr>
            <w:r w:rsidRPr="00E21A57">
              <w:rPr>
                <w:highlight w:val="yellow"/>
              </w:rPr>
              <w:t>3.1</w:t>
            </w:r>
          </w:p>
        </w:tc>
        <w:tc>
          <w:tcPr>
            <w:tcW w:w="726" w:type="dxa"/>
          </w:tcPr>
          <w:p w14:paraId="5B029669" w14:textId="024AD287" w:rsidR="00486D8A" w:rsidRDefault="00BF1113" w:rsidP="00B41F3F">
            <w:pPr>
              <w:pStyle w:val="BodyTextIndent"/>
              <w:ind w:left="0"/>
              <w:jc w:val="center"/>
            </w:pPr>
            <w:r>
              <w:t>4.4</w:t>
            </w:r>
          </w:p>
        </w:tc>
      </w:tr>
      <w:tr w:rsidR="00486D8A" w14:paraId="341488C0" w14:textId="0D5122E6" w:rsidTr="00BF1113">
        <w:trPr>
          <w:trHeight w:val="737"/>
        </w:trPr>
        <w:tc>
          <w:tcPr>
            <w:tcW w:w="2693" w:type="dxa"/>
          </w:tcPr>
          <w:p w14:paraId="39D5EF5A" w14:textId="77777777" w:rsidR="00486D8A" w:rsidRDefault="00486D8A" w:rsidP="00B41F3F">
            <w:pPr>
              <w:pStyle w:val="BodyTextIndent"/>
              <w:ind w:left="0"/>
            </w:pPr>
            <w:r>
              <w:t>Aware of Instructor’s Performance Expectations</w:t>
            </w:r>
          </w:p>
        </w:tc>
        <w:tc>
          <w:tcPr>
            <w:tcW w:w="1138" w:type="dxa"/>
          </w:tcPr>
          <w:p w14:paraId="5F4C2B8E" w14:textId="77777777" w:rsidR="00486D8A" w:rsidRDefault="00486D8A" w:rsidP="00B41F3F">
            <w:pPr>
              <w:pStyle w:val="BodyTextIndent"/>
              <w:ind w:left="0"/>
              <w:jc w:val="center"/>
            </w:pPr>
            <w:r>
              <w:t>3.8</w:t>
            </w:r>
          </w:p>
        </w:tc>
        <w:tc>
          <w:tcPr>
            <w:tcW w:w="1332" w:type="dxa"/>
          </w:tcPr>
          <w:p w14:paraId="082FDAF4" w14:textId="77777777" w:rsidR="00486D8A" w:rsidRDefault="00486D8A" w:rsidP="00B41F3F">
            <w:pPr>
              <w:pStyle w:val="BodyTextIndent"/>
              <w:ind w:left="0"/>
              <w:jc w:val="center"/>
            </w:pPr>
            <w:r>
              <w:t>4.1</w:t>
            </w:r>
          </w:p>
        </w:tc>
        <w:tc>
          <w:tcPr>
            <w:tcW w:w="906" w:type="dxa"/>
          </w:tcPr>
          <w:p w14:paraId="2EEF797D" w14:textId="443F38F2" w:rsidR="00486D8A" w:rsidRDefault="00486D8A" w:rsidP="00B41F3F">
            <w:pPr>
              <w:pStyle w:val="BodyTextIndent"/>
              <w:ind w:left="0"/>
              <w:jc w:val="center"/>
            </w:pPr>
            <w:r>
              <w:t>5.2</w:t>
            </w:r>
          </w:p>
        </w:tc>
        <w:tc>
          <w:tcPr>
            <w:tcW w:w="859" w:type="dxa"/>
          </w:tcPr>
          <w:p w14:paraId="0E5EB9D1" w14:textId="4199650B" w:rsidR="00486D8A" w:rsidRDefault="00486D8A" w:rsidP="00B41F3F">
            <w:pPr>
              <w:pStyle w:val="BodyTextIndent"/>
              <w:ind w:left="0"/>
              <w:jc w:val="center"/>
            </w:pPr>
            <w:r>
              <w:t>4.5</w:t>
            </w:r>
          </w:p>
        </w:tc>
        <w:tc>
          <w:tcPr>
            <w:tcW w:w="801" w:type="dxa"/>
          </w:tcPr>
          <w:p w14:paraId="4F48DC56" w14:textId="73DC0F2D" w:rsidR="00486D8A" w:rsidRPr="00E21A57" w:rsidRDefault="00486D8A" w:rsidP="00B41F3F">
            <w:pPr>
              <w:pStyle w:val="BodyTextIndent"/>
              <w:ind w:left="0"/>
              <w:jc w:val="center"/>
              <w:rPr>
                <w:highlight w:val="yellow"/>
              </w:rPr>
            </w:pPr>
            <w:r w:rsidRPr="00E21A57">
              <w:rPr>
                <w:highlight w:val="yellow"/>
              </w:rPr>
              <w:t>3.6</w:t>
            </w:r>
          </w:p>
        </w:tc>
        <w:tc>
          <w:tcPr>
            <w:tcW w:w="726" w:type="dxa"/>
          </w:tcPr>
          <w:p w14:paraId="7CB4827B" w14:textId="7B6C47F8" w:rsidR="00486D8A" w:rsidRDefault="00BF1113" w:rsidP="00B41F3F">
            <w:pPr>
              <w:pStyle w:val="BodyTextIndent"/>
              <w:ind w:left="0"/>
              <w:jc w:val="center"/>
            </w:pPr>
            <w:r>
              <w:t>4.6</w:t>
            </w:r>
          </w:p>
        </w:tc>
      </w:tr>
      <w:tr w:rsidR="00486D8A" w14:paraId="3969B820" w14:textId="33FE99FA" w:rsidTr="00BF1113">
        <w:tc>
          <w:tcPr>
            <w:tcW w:w="2693" w:type="dxa"/>
          </w:tcPr>
          <w:p w14:paraId="12CF0D83" w14:textId="77777777" w:rsidR="00486D8A" w:rsidRDefault="00486D8A" w:rsidP="00B41F3F">
            <w:pPr>
              <w:pStyle w:val="BodyTextIndent"/>
              <w:ind w:left="0"/>
            </w:pPr>
            <w:r>
              <w:t>Demonstrates Mastery</w:t>
            </w:r>
          </w:p>
        </w:tc>
        <w:tc>
          <w:tcPr>
            <w:tcW w:w="1138" w:type="dxa"/>
          </w:tcPr>
          <w:p w14:paraId="2C461350" w14:textId="77777777" w:rsidR="00486D8A" w:rsidRDefault="00486D8A" w:rsidP="00B41F3F">
            <w:pPr>
              <w:pStyle w:val="BodyTextIndent"/>
              <w:ind w:left="0"/>
              <w:jc w:val="center"/>
            </w:pPr>
            <w:r>
              <w:t>4.3</w:t>
            </w:r>
          </w:p>
        </w:tc>
        <w:tc>
          <w:tcPr>
            <w:tcW w:w="1332" w:type="dxa"/>
          </w:tcPr>
          <w:p w14:paraId="175FAACC" w14:textId="77777777" w:rsidR="00486D8A" w:rsidRDefault="00486D8A" w:rsidP="00B41F3F">
            <w:pPr>
              <w:pStyle w:val="BodyTextIndent"/>
              <w:ind w:left="0"/>
              <w:jc w:val="center"/>
            </w:pPr>
            <w:r>
              <w:t>4.5</w:t>
            </w:r>
          </w:p>
        </w:tc>
        <w:tc>
          <w:tcPr>
            <w:tcW w:w="906" w:type="dxa"/>
          </w:tcPr>
          <w:p w14:paraId="4C281991" w14:textId="0749FB88" w:rsidR="00486D8A" w:rsidRDefault="00486D8A" w:rsidP="00B41F3F">
            <w:pPr>
              <w:pStyle w:val="BodyTextIndent"/>
              <w:ind w:left="0"/>
              <w:jc w:val="center"/>
            </w:pPr>
            <w:r>
              <w:t>4.7</w:t>
            </w:r>
          </w:p>
        </w:tc>
        <w:tc>
          <w:tcPr>
            <w:tcW w:w="859" w:type="dxa"/>
          </w:tcPr>
          <w:p w14:paraId="410010C3" w14:textId="31BED52B" w:rsidR="00486D8A" w:rsidRDefault="00486D8A" w:rsidP="00B41F3F">
            <w:pPr>
              <w:pStyle w:val="BodyTextIndent"/>
              <w:ind w:left="0"/>
              <w:jc w:val="center"/>
            </w:pPr>
            <w:r>
              <w:t>4.7</w:t>
            </w:r>
          </w:p>
        </w:tc>
        <w:tc>
          <w:tcPr>
            <w:tcW w:w="801" w:type="dxa"/>
          </w:tcPr>
          <w:p w14:paraId="731E478D" w14:textId="6B5E245E" w:rsidR="00486D8A" w:rsidRPr="00E21A57" w:rsidRDefault="00486D8A" w:rsidP="00B41F3F">
            <w:pPr>
              <w:pStyle w:val="BodyTextIndent"/>
              <w:ind w:left="0"/>
              <w:jc w:val="center"/>
              <w:rPr>
                <w:highlight w:val="yellow"/>
              </w:rPr>
            </w:pPr>
            <w:r w:rsidRPr="00E21A57">
              <w:rPr>
                <w:highlight w:val="yellow"/>
              </w:rPr>
              <w:t>3.6</w:t>
            </w:r>
          </w:p>
        </w:tc>
        <w:tc>
          <w:tcPr>
            <w:tcW w:w="726" w:type="dxa"/>
          </w:tcPr>
          <w:p w14:paraId="31D024DE" w14:textId="77777777" w:rsidR="00486D8A" w:rsidRDefault="00BF1113" w:rsidP="00B41F3F">
            <w:pPr>
              <w:pStyle w:val="BodyTextIndent"/>
              <w:ind w:left="0"/>
              <w:jc w:val="center"/>
            </w:pPr>
            <w:r>
              <w:t>4.8</w:t>
            </w:r>
          </w:p>
          <w:p w14:paraId="4965D7DF" w14:textId="1DC88CD9" w:rsidR="00BF1113" w:rsidRDefault="00BF1113" w:rsidP="00B41F3F">
            <w:pPr>
              <w:pStyle w:val="BodyTextIndent"/>
              <w:ind w:left="0"/>
              <w:jc w:val="center"/>
            </w:pPr>
          </w:p>
        </w:tc>
      </w:tr>
      <w:tr w:rsidR="00486D8A" w14:paraId="7E4AAAE8" w14:textId="63176DDC" w:rsidTr="00BF1113">
        <w:tc>
          <w:tcPr>
            <w:tcW w:w="2693" w:type="dxa"/>
          </w:tcPr>
          <w:p w14:paraId="27C98569" w14:textId="77777777" w:rsidR="00486D8A" w:rsidRDefault="00486D8A" w:rsidP="00B41F3F">
            <w:pPr>
              <w:pStyle w:val="BodyTextIndent"/>
              <w:ind w:left="0"/>
            </w:pPr>
            <w:r>
              <w:t>Recommend This Course</w:t>
            </w:r>
          </w:p>
        </w:tc>
        <w:tc>
          <w:tcPr>
            <w:tcW w:w="1138" w:type="dxa"/>
          </w:tcPr>
          <w:p w14:paraId="790FC231" w14:textId="77777777" w:rsidR="00486D8A" w:rsidRDefault="00486D8A" w:rsidP="00B41F3F">
            <w:pPr>
              <w:pStyle w:val="BodyTextIndent"/>
              <w:ind w:left="0"/>
              <w:jc w:val="center"/>
            </w:pPr>
            <w:r>
              <w:t>0.8</w:t>
            </w:r>
          </w:p>
        </w:tc>
        <w:tc>
          <w:tcPr>
            <w:tcW w:w="1332" w:type="dxa"/>
          </w:tcPr>
          <w:p w14:paraId="6C99C2B7" w14:textId="77777777" w:rsidR="00486D8A" w:rsidRDefault="00486D8A" w:rsidP="00B41F3F">
            <w:pPr>
              <w:pStyle w:val="BodyTextIndent"/>
              <w:ind w:left="0"/>
              <w:jc w:val="center"/>
            </w:pPr>
            <w:r>
              <w:t>0.8</w:t>
            </w:r>
          </w:p>
        </w:tc>
        <w:tc>
          <w:tcPr>
            <w:tcW w:w="906" w:type="dxa"/>
          </w:tcPr>
          <w:p w14:paraId="61CFDC7E" w14:textId="630CC96A" w:rsidR="00486D8A" w:rsidRDefault="00486D8A" w:rsidP="00B41F3F">
            <w:pPr>
              <w:pStyle w:val="BodyTextIndent"/>
              <w:ind w:left="0"/>
              <w:jc w:val="center"/>
            </w:pPr>
            <w:r>
              <w:t>.9</w:t>
            </w:r>
          </w:p>
        </w:tc>
        <w:tc>
          <w:tcPr>
            <w:tcW w:w="859" w:type="dxa"/>
          </w:tcPr>
          <w:p w14:paraId="3D487B43" w14:textId="67F08689" w:rsidR="00486D8A" w:rsidRDefault="00486D8A" w:rsidP="00B41F3F">
            <w:pPr>
              <w:pStyle w:val="BodyTextIndent"/>
              <w:ind w:left="0"/>
              <w:jc w:val="center"/>
            </w:pPr>
            <w:r>
              <w:t>.9</w:t>
            </w:r>
          </w:p>
        </w:tc>
        <w:tc>
          <w:tcPr>
            <w:tcW w:w="801" w:type="dxa"/>
          </w:tcPr>
          <w:p w14:paraId="2FD4CE49" w14:textId="77777777" w:rsidR="00486D8A" w:rsidRPr="00E21A57" w:rsidRDefault="00486D8A" w:rsidP="00B41F3F">
            <w:pPr>
              <w:pStyle w:val="BodyTextIndent"/>
              <w:ind w:left="0"/>
              <w:jc w:val="center"/>
              <w:rPr>
                <w:highlight w:val="yellow"/>
              </w:rPr>
            </w:pPr>
            <w:r w:rsidRPr="00E21A57">
              <w:rPr>
                <w:highlight w:val="yellow"/>
              </w:rPr>
              <w:t>.6</w:t>
            </w:r>
          </w:p>
          <w:p w14:paraId="39C5AF85" w14:textId="4744A759" w:rsidR="00486D8A" w:rsidRPr="00E21A57" w:rsidRDefault="00486D8A" w:rsidP="00B41F3F">
            <w:pPr>
              <w:pStyle w:val="BodyTextIndent"/>
              <w:ind w:left="0"/>
              <w:jc w:val="center"/>
              <w:rPr>
                <w:highlight w:val="yellow"/>
              </w:rPr>
            </w:pPr>
          </w:p>
        </w:tc>
        <w:tc>
          <w:tcPr>
            <w:tcW w:w="726" w:type="dxa"/>
          </w:tcPr>
          <w:p w14:paraId="14DE87B0" w14:textId="75ED3BBC" w:rsidR="00486D8A" w:rsidRDefault="00BF1113" w:rsidP="00B41F3F">
            <w:pPr>
              <w:pStyle w:val="BodyTextIndent"/>
              <w:ind w:left="0"/>
              <w:jc w:val="center"/>
            </w:pPr>
            <w:r>
              <w:t>.9</w:t>
            </w:r>
          </w:p>
        </w:tc>
      </w:tr>
      <w:tr w:rsidR="00486D8A" w14:paraId="23DF53E0" w14:textId="38081A98" w:rsidTr="00BF1113">
        <w:tc>
          <w:tcPr>
            <w:tcW w:w="2693" w:type="dxa"/>
          </w:tcPr>
          <w:p w14:paraId="5A91A9CA" w14:textId="39C5F7AC" w:rsidR="00486D8A" w:rsidRDefault="00486D8A" w:rsidP="00B41F3F">
            <w:pPr>
              <w:pStyle w:val="BodyTextIndent"/>
              <w:ind w:left="0"/>
            </w:pPr>
            <w:r>
              <w:t>Total Courses</w:t>
            </w:r>
          </w:p>
        </w:tc>
        <w:tc>
          <w:tcPr>
            <w:tcW w:w="1138" w:type="dxa"/>
          </w:tcPr>
          <w:p w14:paraId="212B868C" w14:textId="5901BF62" w:rsidR="00486D8A" w:rsidRDefault="00486D8A" w:rsidP="00B41F3F">
            <w:pPr>
              <w:pStyle w:val="BodyTextIndent"/>
              <w:ind w:left="0"/>
              <w:jc w:val="center"/>
            </w:pPr>
            <w:r>
              <w:t>122</w:t>
            </w:r>
          </w:p>
        </w:tc>
        <w:tc>
          <w:tcPr>
            <w:tcW w:w="1332" w:type="dxa"/>
          </w:tcPr>
          <w:p w14:paraId="1DD56C5F" w14:textId="77777777" w:rsidR="00486D8A" w:rsidRDefault="00486D8A" w:rsidP="00B41F3F">
            <w:pPr>
              <w:pStyle w:val="BodyTextIndent"/>
              <w:ind w:left="0"/>
              <w:jc w:val="center"/>
            </w:pPr>
          </w:p>
        </w:tc>
        <w:tc>
          <w:tcPr>
            <w:tcW w:w="906" w:type="dxa"/>
          </w:tcPr>
          <w:p w14:paraId="1FAB453E" w14:textId="759238D4" w:rsidR="00486D8A" w:rsidRDefault="00486D8A" w:rsidP="00B41F3F">
            <w:pPr>
              <w:pStyle w:val="BodyTextIndent"/>
              <w:ind w:left="0"/>
              <w:jc w:val="center"/>
            </w:pPr>
            <w:r>
              <w:t>35</w:t>
            </w:r>
          </w:p>
        </w:tc>
        <w:tc>
          <w:tcPr>
            <w:tcW w:w="859" w:type="dxa"/>
          </w:tcPr>
          <w:p w14:paraId="088C0F01" w14:textId="572A25C4" w:rsidR="00486D8A" w:rsidRDefault="00486D8A" w:rsidP="00B41F3F">
            <w:pPr>
              <w:pStyle w:val="BodyTextIndent"/>
              <w:ind w:left="0"/>
              <w:jc w:val="center"/>
            </w:pPr>
            <w:r>
              <w:t>27</w:t>
            </w:r>
          </w:p>
        </w:tc>
        <w:tc>
          <w:tcPr>
            <w:tcW w:w="801" w:type="dxa"/>
          </w:tcPr>
          <w:p w14:paraId="002844AD" w14:textId="1225A776" w:rsidR="00486D8A" w:rsidRPr="00E21A57" w:rsidRDefault="00486D8A" w:rsidP="00B41F3F">
            <w:pPr>
              <w:pStyle w:val="BodyTextIndent"/>
              <w:ind w:left="0"/>
              <w:jc w:val="center"/>
              <w:rPr>
                <w:highlight w:val="yellow"/>
              </w:rPr>
            </w:pPr>
            <w:r w:rsidRPr="00E21A57">
              <w:rPr>
                <w:highlight w:val="yellow"/>
              </w:rPr>
              <w:t>33</w:t>
            </w:r>
          </w:p>
        </w:tc>
        <w:tc>
          <w:tcPr>
            <w:tcW w:w="726" w:type="dxa"/>
          </w:tcPr>
          <w:p w14:paraId="26E56856" w14:textId="77777777" w:rsidR="00486D8A" w:rsidRDefault="00BF1113" w:rsidP="00B41F3F">
            <w:pPr>
              <w:pStyle w:val="BodyTextIndent"/>
              <w:ind w:left="0"/>
              <w:jc w:val="center"/>
            </w:pPr>
            <w:r>
              <w:t>9</w:t>
            </w:r>
          </w:p>
          <w:p w14:paraId="29F100C7" w14:textId="559A98D1" w:rsidR="00BF1113" w:rsidRDefault="00BF1113" w:rsidP="00B41F3F">
            <w:pPr>
              <w:pStyle w:val="BodyTextIndent"/>
              <w:ind w:left="0"/>
              <w:jc w:val="center"/>
            </w:pPr>
          </w:p>
        </w:tc>
      </w:tr>
    </w:tbl>
    <w:p w14:paraId="6B85CD9A" w14:textId="29B4A9C2" w:rsidR="004F032B" w:rsidRDefault="004F032B" w:rsidP="004F032B">
      <w:pPr>
        <w:pStyle w:val="BodyTextIndent"/>
        <w:ind w:left="1080"/>
      </w:pPr>
    </w:p>
    <w:p w14:paraId="12E13A2A" w14:textId="7A1E4037" w:rsidR="00B41F3F" w:rsidRDefault="00B41F3F" w:rsidP="004F032B">
      <w:pPr>
        <w:pStyle w:val="BodyTextIndent"/>
        <w:ind w:left="1080"/>
      </w:pPr>
      <w:r>
        <w:t>Within</w:t>
      </w:r>
      <w:r w:rsidR="00E21A57">
        <w:t xml:space="preserve"> the CSC about 17</w:t>
      </w:r>
      <w:r>
        <w:t>% of the courses have been taught be Adjunct Professors. When comparing the adjuncts with the full-time faculty students report a significant different in instruction quality</w:t>
      </w:r>
      <w:r w:rsidR="00E21A57">
        <w:t xml:space="preserve"> (See table 4)</w:t>
      </w:r>
    </w:p>
    <w:p w14:paraId="3FB3AB7B" w14:textId="77777777" w:rsidR="00B41F3F" w:rsidRDefault="00B41F3F" w:rsidP="004F032B">
      <w:pPr>
        <w:pStyle w:val="BodyTextIndent"/>
        <w:ind w:left="1080"/>
      </w:pPr>
    </w:p>
    <w:p w14:paraId="3B5A3656" w14:textId="2CEB7820" w:rsidR="00B41F3F" w:rsidRPr="00BF1113" w:rsidRDefault="00B41F3F" w:rsidP="00B41F3F">
      <w:pPr>
        <w:pStyle w:val="BodyTextIndent"/>
        <w:ind w:left="1080"/>
        <w:rPr>
          <w:b/>
        </w:rPr>
      </w:pPr>
      <w:r>
        <w:t>Table 4 Smart Evaluation Results for All Adjunct Professors VS all Full Time</w:t>
      </w:r>
    </w:p>
    <w:p w14:paraId="0EE35B76" w14:textId="77777777" w:rsidR="00B41F3F" w:rsidRDefault="00B41F3F" w:rsidP="00B41F3F">
      <w:pPr>
        <w:pStyle w:val="BodyTextIndent"/>
        <w:ind w:left="1080"/>
      </w:pPr>
    </w:p>
    <w:tbl>
      <w:tblPr>
        <w:tblStyle w:val="TableGrid"/>
        <w:tblW w:w="0" w:type="auto"/>
        <w:tblInd w:w="1165" w:type="dxa"/>
        <w:tblLook w:val="04A0" w:firstRow="1" w:lastRow="0" w:firstColumn="1" w:lastColumn="0" w:noHBand="0" w:noVBand="1"/>
      </w:tblPr>
      <w:tblGrid>
        <w:gridCol w:w="2380"/>
        <w:gridCol w:w="1132"/>
        <w:gridCol w:w="1321"/>
        <w:gridCol w:w="990"/>
        <w:gridCol w:w="854"/>
      </w:tblGrid>
      <w:tr w:rsidR="00B41F3F" w14:paraId="4EFE419F" w14:textId="77777777" w:rsidTr="00E21A57">
        <w:tc>
          <w:tcPr>
            <w:tcW w:w="2380" w:type="dxa"/>
          </w:tcPr>
          <w:p w14:paraId="433865A7" w14:textId="77777777" w:rsidR="00B41F3F" w:rsidRDefault="00B41F3F" w:rsidP="00B41F3F">
            <w:pPr>
              <w:pStyle w:val="BodyTextIndent"/>
              <w:ind w:left="0"/>
            </w:pPr>
          </w:p>
        </w:tc>
        <w:tc>
          <w:tcPr>
            <w:tcW w:w="1132" w:type="dxa"/>
          </w:tcPr>
          <w:p w14:paraId="65A0A2D0" w14:textId="77777777" w:rsidR="00B41F3F" w:rsidRDefault="00B41F3F" w:rsidP="00B41F3F">
            <w:pPr>
              <w:pStyle w:val="BodyTextIndent"/>
              <w:ind w:left="0"/>
              <w:jc w:val="center"/>
            </w:pPr>
            <w:r>
              <w:t>All CSC Courses</w:t>
            </w:r>
          </w:p>
        </w:tc>
        <w:tc>
          <w:tcPr>
            <w:tcW w:w="1321" w:type="dxa"/>
          </w:tcPr>
          <w:p w14:paraId="5E92FC06" w14:textId="77777777" w:rsidR="00B41F3F" w:rsidRDefault="00B41F3F" w:rsidP="00B41F3F">
            <w:pPr>
              <w:pStyle w:val="BodyTextIndent"/>
              <w:ind w:left="0"/>
              <w:jc w:val="center"/>
            </w:pPr>
            <w:r>
              <w:t>Arts and Sciences</w:t>
            </w:r>
          </w:p>
        </w:tc>
        <w:tc>
          <w:tcPr>
            <w:tcW w:w="990" w:type="dxa"/>
          </w:tcPr>
          <w:p w14:paraId="47DB52B0" w14:textId="77A375F0" w:rsidR="00B41F3F" w:rsidRDefault="00B41F3F" w:rsidP="00B41F3F">
            <w:pPr>
              <w:pStyle w:val="BodyTextIndent"/>
              <w:ind w:left="0"/>
              <w:jc w:val="center"/>
            </w:pPr>
            <w:r>
              <w:t>Adjunct</w:t>
            </w:r>
          </w:p>
        </w:tc>
        <w:tc>
          <w:tcPr>
            <w:tcW w:w="854" w:type="dxa"/>
          </w:tcPr>
          <w:p w14:paraId="440001FA" w14:textId="10AAEE63" w:rsidR="00B41F3F" w:rsidRDefault="00B41F3F" w:rsidP="00B41F3F">
            <w:pPr>
              <w:pStyle w:val="BodyTextIndent"/>
              <w:ind w:left="0"/>
              <w:jc w:val="center"/>
            </w:pPr>
            <w:r>
              <w:t>Full Time</w:t>
            </w:r>
          </w:p>
        </w:tc>
      </w:tr>
      <w:tr w:rsidR="00B41F3F" w14:paraId="08623843" w14:textId="77777777" w:rsidTr="00E21A57">
        <w:tc>
          <w:tcPr>
            <w:tcW w:w="2380" w:type="dxa"/>
          </w:tcPr>
          <w:p w14:paraId="0B28444F" w14:textId="77777777" w:rsidR="00B41F3F" w:rsidRDefault="00B41F3F" w:rsidP="00B41F3F">
            <w:pPr>
              <w:pStyle w:val="BodyTextIndent"/>
              <w:ind w:left="0"/>
            </w:pPr>
            <w:r>
              <w:t>On Time and Prepared</w:t>
            </w:r>
          </w:p>
        </w:tc>
        <w:tc>
          <w:tcPr>
            <w:tcW w:w="1132" w:type="dxa"/>
          </w:tcPr>
          <w:p w14:paraId="22D1527C" w14:textId="77777777" w:rsidR="00B41F3F" w:rsidRDefault="00B41F3F" w:rsidP="00B41F3F">
            <w:pPr>
              <w:pStyle w:val="BodyTextIndent"/>
              <w:ind w:left="0"/>
              <w:jc w:val="center"/>
            </w:pPr>
            <w:r>
              <w:t>4.4</w:t>
            </w:r>
          </w:p>
        </w:tc>
        <w:tc>
          <w:tcPr>
            <w:tcW w:w="1321" w:type="dxa"/>
          </w:tcPr>
          <w:p w14:paraId="535612F9" w14:textId="77777777" w:rsidR="00B41F3F" w:rsidRDefault="00B41F3F" w:rsidP="00B41F3F">
            <w:pPr>
              <w:pStyle w:val="BodyTextIndent"/>
              <w:ind w:left="0"/>
              <w:jc w:val="center"/>
            </w:pPr>
            <w:r>
              <w:t>4.5</w:t>
            </w:r>
          </w:p>
        </w:tc>
        <w:tc>
          <w:tcPr>
            <w:tcW w:w="990" w:type="dxa"/>
          </w:tcPr>
          <w:p w14:paraId="2822AF94" w14:textId="01AD3A7D" w:rsidR="00B41F3F" w:rsidRPr="00E21A57" w:rsidRDefault="00E21A57" w:rsidP="00B41F3F">
            <w:pPr>
              <w:pStyle w:val="BodyTextIndent"/>
              <w:ind w:left="0"/>
              <w:jc w:val="center"/>
              <w:rPr>
                <w:highlight w:val="yellow"/>
              </w:rPr>
            </w:pPr>
            <w:r>
              <w:rPr>
                <w:highlight w:val="yellow"/>
              </w:rPr>
              <w:t>3.8</w:t>
            </w:r>
          </w:p>
        </w:tc>
        <w:tc>
          <w:tcPr>
            <w:tcW w:w="854" w:type="dxa"/>
          </w:tcPr>
          <w:p w14:paraId="55B6816E" w14:textId="44C080C8" w:rsidR="00B41F3F" w:rsidRDefault="00B41F3F" w:rsidP="00B41F3F">
            <w:pPr>
              <w:pStyle w:val="BodyTextIndent"/>
              <w:ind w:left="0"/>
              <w:jc w:val="center"/>
            </w:pPr>
            <w:r>
              <w:t>4.5</w:t>
            </w:r>
          </w:p>
        </w:tc>
      </w:tr>
      <w:tr w:rsidR="00B41F3F" w14:paraId="12D4510D" w14:textId="77777777" w:rsidTr="00E21A57">
        <w:tc>
          <w:tcPr>
            <w:tcW w:w="2380" w:type="dxa"/>
          </w:tcPr>
          <w:p w14:paraId="3B1519F0" w14:textId="77777777" w:rsidR="00B41F3F" w:rsidRDefault="00B41F3F" w:rsidP="00B41F3F">
            <w:pPr>
              <w:pStyle w:val="BodyTextIndent"/>
              <w:ind w:left="0"/>
            </w:pPr>
            <w:r>
              <w:t>Communicates Clearly</w:t>
            </w:r>
          </w:p>
        </w:tc>
        <w:tc>
          <w:tcPr>
            <w:tcW w:w="1132" w:type="dxa"/>
          </w:tcPr>
          <w:p w14:paraId="3390DD7C" w14:textId="77777777" w:rsidR="00B41F3F" w:rsidRDefault="00B41F3F" w:rsidP="00B41F3F">
            <w:pPr>
              <w:pStyle w:val="BodyTextIndent"/>
              <w:ind w:left="0"/>
              <w:jc w:val="center"/>
            </w:pPr>
            <w:r>
              <w:t>3.9</w:t>
            </w:r>
          </w:p>
        </w:tc>
        <w:tc>
          <w:tcPr>
            <w:tcW w:w="1321" w:type="dxa"/>
          </w:tcPr>
          <w:p w14:paraId="578DBAF5" w14:textId="77777777" w:rsidR="00B41F3F" w:rsidRDefault="00B41F3F" w:rsidP="00B41F3F">
            <w:pPr>
              <w:pStyle w:val="BodyTextIndent"/>
              <w:ind w:left="0"/>
              <w:jc w:val="center"/>
            </w:pPr>
            <w:r>
              <w:t>4.2</w:t>
            </w:r>
          </w:p>
        </w:tc>
        <w:tc>
          <w:tcPr>
            <w:tcW w:w="990" w:type="dxa"/>
          </w:tcPr>
          <w:p w14:paraId="734A2BD5" w14:textId="0129B5CB" w:rsidR="00B41F3F" w:rsidRPr="00E21A57" w:rsidRDefault="00E21A57" w:rsidP="00B41F3F">
            <w:pPr>
              <w:pStyle w:val="BodyTextIndent"/>
              <w:ind w:left="0"/>
              <w:jc w:val="center"/>
              <w:rPr>
                <w:highlight w:val="yellow"/>
              </w:rPr>
            </w:pPr>
            <w:r>
              <w:rPr>
                <w:highlight w:val="yellow"/>
              </w:rPr>
              <w:t>3.3</w:t>
            </w:r>
          </w:p>
        </w:tc>
        <w:tc>
          <w:tcPr>
            <w:tcW w:w="854" w:type="dxa"/>
          </w:tcPr>
          <w:p w14:paraId="7F807A9E" w14:textId="6CF5B963" w:rsidR="00B41F3F" w:rsidRDefault="00B41F3F" w:rsidP="00B41F3F">
            <w:pPr>
              <w:pStyle w:val="BodyTextIndent"/>
              <w:ind w:left="0"/>
              <w:jc w:val="center"/>
            </w:pPr>
            <w:r>
              <w:t>4.25</w:t>
            </w:r>
          </w:p>
        </w:tc>
      </w:tr>
      <w:tr w:rsidR="00B41F3F" w14:paraId="5A460CAF" w14:textId="77777777" w:rsidTr="00E21A57">
        <w:tc>
          <w:tcPr>
            <w:tcW w:w="2380" w:type="dxa"/>
          </w:tcPr>
          <w:p w14:paraId="76361DE9" w14:textId="77777777" w:rsidR="00B41F3F" w:rsidRDefault="00B41F3F" w:rsidP="00B41F3F">
            <w:pPr>
              <w:pStyle w:val="BodyTextIndent"/>
              <w:ind w:left="0"/>
            </w:pPr>
            <w:r>
              <w:t>Uses a Variety of Teaching Techniques</w:t>
            </w:r>
          </w:p>
        </w:tc>
        <w:tc>
          <w:tcPr>
            <w:tcW w:w="1132" w:type="dxa"/>
          </w:tcPr>
          <w:p w14:paraId="15266AB5" w14:textId="77777777" w:rsidR="00B41F3F" w:rsidRDefault="00B41F3F" w:rsidP="00B41F3F">
            <w:pPr>
              <w:pStyle w:val="BodyTextIndent"/>
              <w:ind w:left="0"/>
              <w:jc w:val="center"/>
            </w:pPr>
            <w:r>
              <w:t>3.8</w:t>
            </w:r>
          </w:p>
        </w:tc>
        <w:tc>
          <w:tcPr>
            <w:tcW w:w="1321" w:type="dxa"/>
          </w:tcPr>
          <w:p w14:paraId="7DD86D5A" w14:textId="77777777" w:rsidR="00B41F3F" w:rsidRDefault="00B41F3F" w:rsidP="00B41F3F">
            <w:pPr>
              <w:pStyle w:val="BodyTextIndent"/>
              <w:ind w:left="0"/>
              <w:jc w:val="center"/>
            </w:pPr>
            <w:r>
              <w:t>4.1</w:t>
            </w:r>
          </w:p>
        </w:tc>
        <w:tc>
          <w:tcPr>
            <w:tcW w:w="990" w:type="dxa"/>
          </w:tcPr>
          <w:p w14:paraId="72E82076" w14:textId="73A9C129" w:rsidR="00B41F3F" w:rsidRPr="00E21A57" w:rsidRDefault="00E21A57" w:rsidP="00B41F3F">
            <w:pPr>
              <w:pStyle w:val="BodyTextIndent"/>
              <w:ind w:left="0"/>
              <w:jc w:val="center"/>
              <w:rPr>
                <w:highlight w:val="yellow"/>
              </w:rPr>
            </w:pPr>
            <w:r>
              <w:rPr>
                <w:highlight w:val="yellow"/>
              </w:rPr>
              <w:t>3.1</w:t>
            </w:r>
          </w:p>
        </w:tc>
        <w:tc>
          <w:tcPr>
            <w:tcW w:w="854" w:type="dxa"/>
          </w:tcPr>
          <w:p w14:paraId="4E3237FE" w14:textId="1FEABA9D" w:rsidR="00B41F3F" w:rsidRDefault="00B41F3F" w:rsidP="00B41F3F">
            <w:pPr>
              <w:pStyle w:val="BodyTextIndent"/>
              <w:ind w:left="0"/>
              <w:jc w:val="center"/>
            </w:pPr>
            <w:r>
              <w:t>4.2</w:t>
            </w:r>
          </w:p>
        </w:tc>
      </w:tr>
      <w:tr w:rsidR="00B41F3F" w14:paraId="3ECA1784" w14:textId="77777777" w:rsidTr="00E21A57">
        <w:tc>
          <w:tcPr>
            <w:tcW w:w="2380" w:type="dxa"/>
          </w:tcPr>
          <w:p w14:paraId="4C618CA3" w14:textId="77777777" w:rsidR="00B41F3F" w:rsidRDefault="00B41F3F" w:rsidP="00B41F3F">
            <w:pPr>
              <w:pStyle w:val="BodyTextIndent"/>
              <w:ind w:left="0"/>
            </w:pPr>
            <w:r>
              <w:t>Actively Engage My Learning</w:t>
            </w:r>
          </w:p>
        </w:tc>
        <w:tc>
          <w:tcPr>
            <w:tcW w:w="1132" w:type="dxa"/>
          </w:tcPr>
          <w:p w14:paraId="555D14BE" w14:textId="77777777" w:rsidR="00B41F3F" w:rsidRDefault="00B41F3F" w:rsidP="00B41F3F">
            <w:pPr>
              <w:pStyle w:val="BodyTextIndent"/>
              <w:ind w:left="0"/>
              <w:jc w:val="center"/>
            </w:pPr>
            <w:r>
              <w:t>3.8</w:t>
            </w:r>
          </w:p>
        </w:tc>
        <w:tc>
          <w:tcPr>
            <w:tcW w:w="1321" w:type="dxa"/>
          </w:tcPr>
          <w:p w14:paraId="6EF19A75" w14:textId="77777777" w:rsidR="00B41F3F" w:rsidRDefault="00B41F3F" w:rsidP="00B41F3F">
            <w:pPr>
              <w:pStyle w:val="BodyTextIndent"/>
              <w:ind w:left="0"/>
              <w:jc w:val="center"/>
            </w:pPr>
            <w:r>
              <w:t>4.1</w:t>
            </w:r>
          </w:p>
        </w:tc>
        <w:tc>
          <w:tcPr>
            <w:tcW w:w="990" w:type="dxa"/>
          </w:tcPr>
          <w:p w14:paraId="45BF67C0" w14:textId="7ACA5E72" w:rsidR="00B41F3F" w:rsidRPr="00E21A57" w:rsidRDefault="00E21A57" w:rsidP="00B41F3F">
            <w:pPr>
              <w:pStyle w:val="BodyTextIndent"/>
              <w:ind w:left="0"/>
              <w:jc w:val="center"/>
              <w:rPr>
                <w:highlight w:val="yellow"/>
              </w:rPr>
            </w:pPr>
            <w:r>
              <w:rPr>
                <w:highlight w:val="yellow"/>
              </w:rPr>
              <w:t>3.2</w:t>
            </w:r>
          </w:p>
        </w:tc>
        <w:tc>
          <w:tcPr>
            <w:tcW w:w="854" w:type="dxa"/>
          </w:tcPr>
          <w:p w14:paraId="5AFC044B" w14:textId="3B9BEC7D" w:rsidR="00B41F3F" w:rsidRDefault="00B41F3F" w:rsidP="00B41F3F">
            <w:pPr>
              <w:pStyle w:val="BodyTextIndent"/>
              <w:ind w:left="0"/>
              <w:jc w:val="center"/>
            </w:pPr>
            <w:r>
              <w:t>4.3</w:t>
            </w:r>
          </w:p>
        </w:tc>
      </w:tr>
      <w:tr w:rsidR="00B41F3F" w14:paraId="2EF3490B" w14:textId="77777777" w:rsidTr="00E21A57">
        <w:trPr>
          <w:trHeight w:val="737"/>
        </w:trPr>
        <w:tc>
          <w:tcPr>
            <w:tcW w:w="2380" w:type="dxa"/>
          </w:tcPr>
          <w:p w14:paraId="69F509FA" w14:textId="77777777" w:rsidR="00B41F3F" w:rsidRDefault="00B41F3F" w:rsidP="00B41F3F">
            <w:pPr>
              <w:pStyle w:val="BodyTextIndent"/>
              <w:ind w:left="0"/>
            </w:pPr>
            <w:r>
              <w:t>Aware of Instructor’s Performance Expectations</w:t>
            </w:r>
          </w:p>
        </w:tc>
        <w:tc>
          <w:tcPr>
            <w:tcW w:w="1132" w:type="dxa"/>
          </w:tcPr>
          <w:p w14:paraId="788CB2A7" w14:textId="77777777" w:rsidR="00B41F3F" w:rsidRDefault="00B41F3F" w:rsidP="00B41F3F">
            <w:pPr>
              <w:pStyle w:val="BodyTextIndent"/>
              <w:ind w:left="0"/>
              <w:jc w:val="center"/>
            </w:pPr>
            <w:r>
              <w:t>3.8</w:t>
            </w:r>
          </w:p>
        </w:tc>
        <w:tc>
          <w:tcPr>
            <w:tcW w:w="1321" w:type="dxa"/>
          </w:tcPr>
          <w:p w14:paraId="48AEB404" w14:textId="77777777" w:rsidR="00B41F3F" w:rsidRDefault="00B41F3F" w:rsidP="00B41F3F">
            <w:pPr>
              <w:pStyle w:val="BodyTextIndent"/>
              <w:ind w:left="0"/>
              <w:jc w:val="center"/>
            </w:pPr>
            <w:r>
              <w:t>4.1</w:t>
            </w:r>
          </w:p>
        </w:tc>
        <w:tc>
          <w:tcPr>
            <w:tcW w:w="990" w:type="dxa"/>
          </w:tcPr>
          <w:p w14:paraId="713CE753" w14:textId="7535D9F9" w:rsidR="00B41F3F" w:rsidRPr="00E21A57" w:rsidRDefault="00E21A57" w:rsidP="00B41F3F">
            <w:pPr>
              <w:pStyle w:val="BodyTextIndent"/>
              <w:ind w:left="0"/>
              <w:jc w:val="center"/>
              <w:rPr>
                <w:highlight w:val="yellow"/>
              </w:rPr>
            </w:pPr>
            <w:r>
              <w:rPr>
                <w:highlight w:val="yellow"/>
              </w:rPr>
              <w:t>3.6</w:t>
            </w:r>
          </w:p>
        </w:tc>
        <w:tc>
          <w:tcPr>
            <w:tcW w:w="854" w:type="dxa"/>
          </w:tcPr>
          <w:p w14:paraId="48834E3E" w14:textId="78848F64" w:rsidR="00B41F3F" w:rsidRDefault="00B41F3F" w:rsidP="00B41F3F">
            <w:pPr>
              <w:pStyle w:val="BodyTextIndent"/>
              <w:ind w:left="0"/>
              <w:jc w:val="center"/>
            </w:pPr>
            <w:r>
              <w:t>4.5</w:t>
            </w:r>
          </w:p>
        </w:tc>
      </w:tr>
      <w:tr w:rsidR="00B41F3F" w14:paraId="3FCE32BE" w14:textId="77777777" w:rsidTr="00E21A57">
        <w:tc>
          <w:tcPr>
            <w:tcW w:w="2380" w:type="dxa"/>
          </w:tcPr>
          <w:p w14:paraId="46460728" w14:textId="77777777" w:rsidR="00B41F3F" w:rsidRDefault="00B41F3F" w:rsidP="00B41F3F">
            <w:pPr>
              <w:pStyle w:val="BodyTextIndent"/>
              <w:ind w:left="0"/>
            </w:pPr>
            <w:r>
              <w:t>Demonstrates Mastery</w:t>
            </w:r>
          </w:p>
        </w:tc>
        <w:tc>
          <w:tcPr>
            <w:tcW w:w="1132" w:type="dxa"/>
          </w:tcPr>
          <w:p w14:paraId="078D7369" w14:textId="77777777" w:rsidR="00B41F3F" w:rsidRDefault="00B41F3F" w:rsidP="00B41F3F">
            <w:pPr>
              <w:pStyle w:val="BodyTextIndent"/>
              <w:ind w:left="0"/>
              <w:jc w:val="center"/>
            </w:pPr>
            <w:r>
              <w:t>4.3</w:t>
            </w:r>
          </w:p>
        </w:tc>
        <w:tc>
          <w:tcPr>
            <w:tcW w:w="1321" w:type="dxa"/>
          </w:tcPr>
          <w:p w14:paraId="58912982" w14:textId="77777777" w:rsidR="00B41F3F" w:rsidRDefault="00B41F3F" w:rsidP="00B41F3F">
            <w:pPr>
              <w:pStyle w:val="BodyTextIndent"/>
              <w:ind w:left="0"/>
              <w:jc w:val="center"/>
            </w:pPr>
            <w:r>
              <w:t>4.5</w:t>
            </w:r>
          </w:p>
        </w:tc>
        <w:tc>
          <w:tcPr>
            <w:tcW w:w="990" w:type="dxa"/>
          </w:tcPr>
          <w:p w14:paraId="53F23A11" w14:textId="094BAEB5" w:rsidR="00B41F3F" w:rsidRPr="00E21A57" w:rsidRDefault="00B41F3F" w:rsidP="00B41F3F">
            <w:pPr>
              <w:pStyle w:val="BodyTextIndent"/>
              <w:ind w:left="0"/>
              <w:jc w:val="center"/>
              <w:rPr>
                <w:highlight w:val="yellow"/>
              </w:rPr>
            </w:pPr>
            <w:r w:rsidRPr="00E21A57">
              <w:rPr>
                <w:highlight w:val="yellow"/>
              </w:rPr>
              <w:t>3.3</w:t>
            </w:r>
          </w:p>
        </w:tc>
        <w:tc>
          <w:tcPr>
            <w:tcW w:w="854" w:type="dxa"/>
          </w:tcPr>
          <w:p w14:paraId="0EAA6FDA" w14:textId="77777777" w:rsidR="00B41F3F" w:rsidRDefault="00B41F3F" w:rsidP="00B41F3F">
            <w:pPr>
              <w:pStyle w:val="BodyTextIndent"/>
              <w:ind w:left="0"/>
              <w:jc w:val="center"/>
            </w:pPr>
            <w:r>
              <w:t>4.7</w:t>
            </w:r>
          </w:p>
        </w:tc>
      </w:tr>
      <w:tr w:rsidR="00B41F3F" w14:paraId="7CA07DA4" w14:textId="77777777" w:rsidTr="00E21A57">
        <w:tc>
          <w:tcPr>
            <w:tcW w:w="2380" w:type="dxa"/>
          </w:tcPr>
          <w:p w14:paraId="647D83E8" w14:textId="77777777" w:rsidR="00B41F3F" w:rsidRDefault="00B41F3F" w:rsidP="00B41F3F">
            <w:pPr>
              <w:pStyle w:val="BodyTextIndent"/>
              <w:ind w:left="0"/>
            </w:pPr>
            <w:r>
              <w:lastRenderedPageBreak/>
              <w:t>Recommend This Course</w:t>
            </w:r>
          </w:p>
        </w:tc>
        <w:tc>
          <w:tcPr>
            <w:tcW w:w="1132" w:type="dxa"/>
          </w:tcPr>
          <w:p w14:paraId="3E3A3B44" w14:textId="77777777" w:rsidR="00B41F3F" w:rsidRDefault="00B41F3F" w:rsidP="00B41F3F">
            <w:pPr>
              <w:pStyle w:val="BodyTextIndent"/>
              <w:ind w:left="0"/>
              <w:jc w:val="center"/>
            </w:pPr>
            <w:r>
              <w:t>0.8</w:t>
            </w:r>
          </w:p>
        </w:tc>
        <w:tc>
          <w:tcPr>
            <w:tcW w:w="1321" w:type="dxa"/>
          </w:tcPr>
          <w:p w14:paraId="5B006D54" w14:textId="77777777" w:rsidR="00B41F3F" w:rsidRDefault="00B41F3F" w:rsidP="00B41F3F">
            <w:pPr>
              <w:pStyle w:val="BodyTextIndent"/>
              <w:ind w:left="0"/>
              <w:jc w:val="center"/>
            </w:pPr>
            <w:r>
              <w:t>0.8</w:t>
            </w:r>
          </w:p>
        </w:tc>
        <w:tc>
          <w:tcPr>
            <w:tcW w:w="990" w:type="dxa"/>
          </w:tcPr>
          <w:p w14:paraId="3A6F1040" w14:textId="68F21C0F" w:rsidR="00B41F3F" w:rsidRDefault="00964758" w:rsidP="00B41F3F">
            <w:pPr>
              <w:pStyle w:val="BodyTextIndent"/>
              <w:ind w:left="0"/>
              <w:jc w:val="center"/>
            </w:pPr>
            <w:r>
              <w:rPr>
                <w:highlight w:val="yellow"/>
              </w:rPr>
              <w:t>.6</w:t>
            </w:r>
          </w:p>
        </w:tc>
        <w:tc>
          <w:tcPr>
            <w:tcW w:w="854" w:type="dxa"/>
          </w:tcPr>
          <w:p w14:paraId="51CF2DD5" w14:textId="723B69B3" w:rsidR="00B41F3F" w:rsidRDefault="00964758" w:rsidP="00B41F3F">
            <w:pPr>
              <w:pStyle w:val="BodyTextIndent"/>
              <w:ind w:left="0"/>
              <w:jc w:val="center"/>
            </w:pPr>
            <w:r>
              <w:t>.8</w:t>
            </w:r>
          </w:p>
        </w:tc>
      </w:tr>
      <w:tr w:rsidR="00B41F3F" w14:paraId="7E939294" w14:textId="77777777" w:rsidTr="00E21A57">
        <w:tc>
          <w:tcPr>
            <w:tcW w:w="2380" w:type="dxa"/>
          </w:tcPr>
          <w:p w14:paraId="3400F058" w14:textId="77777777" w:rsidR="00B41F3F" w:rsidRDefault="00B41F3F" w:rsidP="00B41F3F">
            <w:pPr>
              <w:pStyle w:val="BodyTextIndent"/>
              <w:ind w:left="0"/>
            </w:pPr>
            <w:r>
              <w:t>Total Courses</w:t>
            </w:r>
          </w:p>
        </w:tc>
        <w:tc>
          <w:tcPr>
            <w:tcW w:w="1132" w:type="dxa"/>
          </w:tcPr>
          <w:p w14:paraId="23112BE0" w14:textId="77777777" w:rsidR="00B41F3F" w:rsidRDefault="00B41F3F" w:rsidP="00B41F3F">
            <w:pPr>
              <w:pStyle w:val="BodyTextIndent"/>
              <w:ind w:left="0"/>
              <w:jc w:val="center"/>
            </w:pPr>
            <w:r>
              <w:t>122</w:t>
            </w:r>
          </w:p>
        </w:tc>
        <w:tc>
          <w:tcPr>
            <w:tcW w:w="1321" w:type="dxa"/>
          </w:tcPr>
          <w:p w14:paraId="64CCE3EC" w14:textId="31BBD0FA" w:rsidR="00B41F3F" w:rsidRDefault="00B41F3F" w:rsidP="00B41F3F">
            <w:pPr>
              <w:pStyle w:val="BodyTextIndent"/>
              <w:ind w:left="0"/>
              <w:jc w:val="center"/>
            </w:pPr>
          </w:p>
        </w:tc>
        <w:tc>
          <w:tcPr>
            <w:tcW w:w="990" w:type="dxa"/>
          </w:tcPr>
          <w:p w14:paraId="2350D3BD" w14:textId="0F94D777" w:rsidR="00B41F3F" w:rsidRDefault="00E21A57" w:rsidP="00B41F3F">
            <w:pPr>
              <w:pStyle w:val="BodyTextIndent"/>
              <w:ind w:left="0"/>
              <w:jc w:val="center"/>
            </w:pPr>
            <w:r>
              <w:t>20</w:t>
            </w:r>
          </w:p>
        </w:tc>
        <w:tc>
          <w:tcPr>
            <w:tcW w:w="854" w:type="dxa"/>
          </w:tcPr>
          <w:p w14:paraId="6ED7CEED" w14:textId="52C85079" w:rsidR="00B41F3F" w:rsidRDefault="00B41F3F" w:rsidP="00B41F3F">
            <w:pPr>
              <w:pStyle w:val="BodyTextIndent"/>
              <w:ind w:left="0"/>
              <w:jc w:val="center"/>
            </w:pPr>
            <w:r>
              <w:t>94</w:t>
            </w:r>
          </w:p>
        </w:tc>
      </w:tr>
    </w:tbl>
    <w:p w14:paraId="542F72F6" w14:textId="32F6C243" w:rsidR="00B41F3F" w:rsidRDefault="00B41F3F" w:rsidP="004F032B">
      <w:pPr>
        <w:pStyle w:val="BodyTextIndent"/>
        <w:ind w:left="1080"/>
      </w:pPr>
    </w:p>
    <w:p w14:paraId="3F874454" w14:textId="2182BDAA" w:rsidR="0064119A" w:rsidRDefault="0050777B" w:rsidP="004F032B">
      <w:pPr>
        <w:pStyle w:val="BodyTextIndent"/>
        <w:ind w:left="1080"/>
      </w:pPr>
      <w:r>
        <w:t>In order to better analyze</w:t>
      </w:r>
      <w:r w:rsidR="0064119A">
        <w:t xml:space="preserve"> the quality of instruction, lets look at only the “Recommend This Course” criterion. Figure x plots the number of occurrence of a “Recommend This Course” score that ranges in value from 0 to 1. Note how the bulk of this data lies above the 50</w:t>
      </w:r>
      <w:r w:rsidR="0064119A" w:rsidRPr="0064119A">
        <w:rPr>
          <w:vertAlign w:val="superscript"/>
        </w:rPr>
        <w:t>th</w:t>
      </w:r>
      <w:r w:rsidR="0064119A">
        <w:t xml:space="preserve"> percentile. Its average value (.8) is dominated by the wide standard deviation in the data (.25). In other words, the lowest 10-15 percentiles of the data drag the overall </w:t>
      </w:r>
      <w:r w:rsidR="004C042C">
        <w:t xml:space="preserve">average </w:t>
      </w:r>
      <w:r w:rsidR="0064119A">
        <w:t xml:space="preserve">results down. </w:t>
      </w:r>
    </w:p>
    <w:p w14:paraId="4394EF50" w14:textId="689565A0" w:rsidR="0064119A" w:rsidRDefault="0064119A" w:rsidP="004F032B">
      <w:pPr>
        <w:pStyle w:val="BodyTextIndent"/>
        <w:ind w:left="1080"/>
      </w:pPr>
      <w:r>
        <w:rPr>
          <w:noProof/>
        </w:rPr>
        <w:drawing>
          <wp:inline distT="0" distB="0" distL="0" distR="0" wp14:anchorId="35E16B90" wp14:editId="23E83B2C">
            <wp:extent cx="45148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2571750"/>
                    </a:xfrm>
                    <a:prstGeom prst="rect">
                      <a:avLst/>
                    </a:prstGeom>
                  </pic:spPr>
                </pic:pic>
              </a:graphicData>
            </a:graphic>
          </wp:inline>
        </w:drawing>
      </w:r>
    </w:p>
    <w:p w14:paraId="3C91014C" w14:textId="041C352D" w:rsidR="00415D75" w:rsidRDefault="00415D75" w:rsidP="00415D75">
      <w:pPr>
        <w:pStyle w:val="BodyTextIndent"/>
      </w:pPr>
      <w:r>
        <w:t xml:space="preserve">If we drill down on the courses listed in the lowest 10 </w:t>
      </w:r>
      <w:r w:rsidR="00893B79">
        <w:t>percentiles</w:t>
      </w:r>
      <w:r w:rsidR="0050777B">
        <w:t xml:space="preserve"> of “Recommend This Course”</w:t>
      </w:r>
      <w:r>
        <w:t xml:space="preserve">, we find </w:t>
      </w:r>
      <w:r w:rsidR="0064119A">
        <w:t xml:space="preserve">14 courses with ratings of .4 or lower. </w:t>
      </w:r>
      <w:r>
        <w:t>Table X shows these fourteen courses</w:t>
      </w:r>
      <w:r w:rsidR="00893B79">
        <w:t xml:space="preserve">. If we sort the courses by “Communicates Clearly” these same courses </w:t>
      </w:r>
      <w:r w:rsidR="0050777B">
        <w:t>show up with these exceptions. Another section of CSC1700, a section of CSC2400</w:t>
      </w:r>
      <w:r w:rsidR="00893B79">
        <w:t xml:space="preserve">– C++, </w:t>
      </w:r>
      <w:r w:rsidR="0050777B">
        <w:t xml:space="preserve">a section of CSC2650 (Data Structures) occurs with the same set of instructors. </w:t>
      </w:r>
    </w:p>
    <w:p w14:paraId="21EBA58A" w14:textId="77777777" w:rsidR="00415D75" w:rsidRDefault="00415D75" w:rsidP="00415D75">
      <w:pPr>
        <w:pStyle w:val="BodyTextIndent"/>
      </w:pPr>
      <w:r>
        <w:tab/>
      </w:r>
    </w:p>
    <w:tbl>
      <w:tblPr>
        <w:tblStyle w:val="TableGrid"/>
        <w:tblW w:w="10170" w:type="dxa"/>
        <w:tblInd w:w="85" w:type="dxa"/>
        <w:tblLook w:val="04A0" w:firstRow="1" w:lastRow="0" w:firstColumn="1" w:lastColumn="0" w:noHBand="0" w:noVBand="1"/>
      </w:tblPr>
      <w:tblGrid>
        <w:gridCol w:w="2187"/>
        <w:gridCol w:w="1509"/>
        <w:gridCol w:w="1745"/>
        <w:gridCol w:w="1640"/>
        <w:gridCol w:w="3089"/>
      </w:tblGrid>
      <w:tr w:rsidR="00893B79" w14:paraId="41AE2E32" w14:textId="77777777" w:rsidTr="00893B79">
        <w:tc>
          <w:tcPr>
            <w:tcW w:w="2187" w:type="dxa"/>
          </w:tcPr>
          <w:p w14:paraId="683A6C4F" w14:textId="77777777" w:rsidR="00893B79" w:rsidRPr="007A5E1B" w:rsidRDefault="00893B79" w:rsidP="00F066FA">
            <w:pPr>
              <w:pStyle w:val="BodyTextIndent"/>
              <w:ind w:left="0"/>
              <w:rPr>
                <w:b/>
                <w:sz w:val="22"/>
              </w:rPr>
            </w:pPr>
            <w:r w:rsidRPr="007A5E1B">
              <w:rPr>
                <w:b/>
                <w:sz w:val="22"/>
              </w:rPr>
              <w:t>Course</w:t>
            </w:r>
          </w:p>
        </w:tc>
        <w:tc>
          <w:tcPr>
            <w:tcW w:w="1509" w:type="dxa"/>
          </w:tcPr>
          <w:p w14:paraId="2459EFFD" w14:textId="77777777" w:rsidR="00893B79" w:rsidRPr="007A5E1B" w:rsidRDefault="00893B79" w:rsidP="00F066FA">
            <w:pPr>
              <w:pStyle w:val="BodyTextIndent"/>
              <w:ind w:left="0"/>
              <w:rPr>
                <w:b/>
                <w:sz w:val="22"/>
              </w:rPr>
            </w:pPr>
            <w:r w:rsidRPr="007A5E1B">
              <w:rPr>
                <w:b/>
                <w:sz w:val="22"/>
              </w:rPr>
              <w:t>Occurrences</w:t>
            </w:r>
          </w:p>
        </w:tc>
        <w:tc>
          <w:tcPr>
            <w:tcW w:w="1745" w:type="dxa"/>
          </w:tcPr>
          <w:p w14:paraId="0FBE476B" w14:textId="06952653" w:rsidR="00893B79" w:rsidRPr="007A5E1B" w:rsidRDefault="00893B79" w:rsidP="00F066FA">
            <w:pPr>
              <w:pStyle w:val="BodyTextIndent"/>
              <w:ind w:left="0"/>
              <w:rPr>
                <w:b/>
                <w:sz w:val="22"/>
              </w:rPr>
            </w:pPr>
            <w:r w:rsidRPr="007A5E1B">
              <w:rPr>
                <w:b/>
                <w:sz w:val="22"/>
              </w:rPr>
              <w:t>Course Type</w:t>
            </w:r>
          </w:p>
        </w:tc>
        <w:tc>
          <w:tcPr>
            <w:tcW w:w="1640" w:type="dxa"/>
          </w:tcPr>
          <w:p w14:paraId="7328EE43" w14:textId="7A3342B5" w:rsidR="00893B79" w:rsidRPr="007A5E1B" w:rsidRDefault="00893B79" w:rsidP="00F066FA">
            <w:pPr>
              <w:pStyle w:val="BodyTextIndent"/>
              <w:ind w:left="0"/>
              <w:rPr>
                <w:b/>
                <w:sz w:val="22"/>
              </w:rPr>
            </w:pPr>
            <w:r w:rsidRPr="007A5E1B">
              <w:rPr>
                <w:b/>
                <w:sz w:val="22"/>
              </w:rPr>
              <w:t>Semesters</w:t>
            </w:r>
          </w:p>
        </w:tc>
        <w:tc>
          <w:tcPr>
            <w:tcW w:w="3089" w:type="dxa"/>
          </w:tcPr>
          <w:p w14:paraId="295875DB" w14:textId="28DE4C7C" w:rsidR="00893B79" w:rsidRPr="007A5E1B" w:rsidRDefault="00893B79" w:rsidP="00F066FA">
            <w:pPr>
              <w:pStyle w:val="BodyTextIndent"/>
              <w:ind w:left="0"/>
              <w:rPr>
                <w:b/>
                <w:sz w:val="22"/>
              </w:rPr>
            </w:pPr>
            <w:r w:rsidRPr="007A5E1B">
              <w:rPr>
                <w:b/>
                <w:sz w:val="22"/>
              </w:rPr>
              <w:t>Comments</w:t>
            </w:r>
          </w:p>
        </w:tc>
      </w:tr>
      <w:tr w:rsidR="00893B79" w14:paraId="4237C8D4" w14:textId="77777777" w:rsidTr="00893B79">
        <w:tc>
          <w:tcPr>
            <w:tcW w:w="2187" w:type="dxa"/>
          </w:tcPr>
          <w:p w14:paraId="522F139F" w14:textId="77777777" w:rsidR="00893B79" w:rsidRPr="007A5E1B" w:rsidRDefault="00893B79" w:rsidP="00F066FA">
            <w:pPr>
              <w:pStyle w:val="BodyTextIndent"/>
              <w:ind w:left="0"/>
              <w:rPr>
                <w:sz w:val="22"/>
              </w:rPr>
            </w:pPr>
            <w:r w:rsidRPr="007A5E1B">
              <w:rPr>
                <w:sz w:val="22"/>
              </w:rPr>
              <w:t>CSC1010 – Introduction to CS</w:t>
            </w:r>
          </w:p>
        </w:tc>
        <w:tc>
          <w:tcPr>
            <w:tcW w:w="1509" w:type="dxa"/>
          </w:tcPr>
          <w:p w14:paraId="7310A455" w14:textId="77777777" w:rsidR="00893B79" w:rsidRPr="007A5E1B" w:rsidRDefault="00893B79" w:rsidP="00F066FA">
            <w:pPr>
              <w:pStyle w:val="BodyTextIndent"/>
              <w:ind w:left="0"/>
              <w:rPr>
                <w:sz w:val="22"/>
              </w:rPr>
            </w:pPr>
            <w:r w:rsidRPr="007A5E1B">
              <w:rPr>
                <w:sz w:val="22"/>
              </w:rPr>
              <w:t>5</w:t>
            </w:r>
          </w:p>
        </w:tc>
        <w:tc>
          <w:tcPr>
            <w:tcW w:w="1745" w:type="dxa"/>
          </w:tcPr>
          <w:p w14:paraId="0A233D69" w14:textId="4068E1A9" w:rsidR="00893B79" w:rsidRPr="007A5E1B" w:rsidRDefault="00893B79" w:rsidP="00F066FA">
            <w:pPr>
              <w:pStyle w:val="BodyTextIndent"/>
              <w:ind w:left="0"/>
              <w:rPr>
                <w:sz w:val="22"/>
              </w:rPr>
            </w:pPr>
            <w:r w:rsidRPr="007A5E1B">
              <w:rPr>
                <w:sz w:val="22"/>
              </w:rPr>
              <w:t>Gen Ed Non CSC Required</w:t>
            </w:r>
          </w:p>
        </w:tc>
        <w:tc>
          <w:tcPr>
            <w:tcW w:w="1640" w:type="dxa"/>
          </w:tcPr>
          <w:p w14:paraId="0F62ADE0" w14:textId="344B7BA0" w:rsidR="00893B79" w:rsidRPr="007A5E1B" w:rsidRDefault="00893B79" w:rsidP="00F066FA">
            <w:pPr>
              <w:pStyle w:val="BodyTextIndent"/>
              <w:ind w:left="0"/>
              <w:rPr>
                <w:sz w:val="22"/>
              </w:rPr>
            </w:pPr>
            <w:r w:rsidRPr="007A5E1B">
              <w:rPr>
                <w:sz w:val="22"/>
              </w:rPr>
              <w:t>S2020, F2019(2x), S2019, S2018</w:t>
            </w:r>
          </w:p>
        </w:tc>
        <w:tc>
          <w:tcPr>
            <w:tcW w:w="3089" w:type="dxa"/>
          </w:tcPr>
          <w:p w14:paraId="607D4E75" w14:textId="0449698B" w:rsidR="00893B79" w:rsidRPr="007A5E1B" w:rsidRDefault="00893B79" w:rsidP="00F066FA">
            <w:pPr>
              <w:pStyle w:val="BodyTextIndent"/>
              <w:ind w:left="0"/>
              <w:rPr>
                <w:sz w:val="22"/>
              </w:rPr>
            </w:pPr>
            <w:r w:rsidRPr="007A5E1B">
              <w:rPr>
                <w:sz w:val="22"/>
              </w:rPr>
              <w:t xml:space="preserve">2 unique instructors (both adjunct). 1 instructor occurs 4 times. </w:t>
            </w:r>
          </w:p>
        </w:tc>
      </w:tr>
      <w:tr w:rsidR="00893B79" w14:paraId="44392BAB" w14:textId="77777777" w:rsidTr="00893B79">
        <w:tc>
          <w:tcPr>
            <w:tcW w:w="2187" w:type="dxa"/>
          </w:tcPr>
          <w:p w14:paraId="71203D30" w14:textId="77777777" w:rsidR="00893B79" w:rsidRPr="007A5E1B" w:rsidRDefault="00893B79" w:rsidP="00F066FA">
            <w:pPr>
              <w:pStyle w:val="BodyTextIndent"/>
              <w:ind w:left="0"/>
              <w:rPr>
                <w:sz w:val="22"/>
              </w:rPr>
            </w:pPr>
            <w:r w:rsidRPr="007A5E1B">
              <w:rPr>
                <w:sz w:val="22"/>
              </w:rPr>
              <w:t>CSC3800 – AI</w:t>
            </w:r>
          </w:p>
        </w:tc>
        <w:tc>
          <w:tcPr>
            <w:tcW w:w="1509" w:type="dxa"/>
          </w:tcPr>
          <w:p w14:paraId="7CD841E9" w14:textId="77777777" w:rsidR="00893B79" w:rsidRPr="007A5E1B" w:rsidRDefault="00893B79" w:rsidP="00F066FA">
            <w:pPr>
              <w:pStyle w:val="BodyTextIndent"/>
              <w:ind w:left="0"/>
              <w:rPr>
                <w:sz w:val="22"/>
              </w:rPr>
            </w:pPr>
            <w:r w:rsidRPr="007A5E1B">
              <w:rPr>
                <w:sz w:val="22"/>
              </w:rPr>
              <w:t>3</w:t>
            </w:r>
          </w:p>
        </w:tc>
        <w:tc>
          <w:tcPr>
            <w:tcW w:w="1745" w:type="dxa"/>
          </w:tcPr>
          <w:p w14:paraId="29EEBA34" w14:textId="243295CB" w:rsidR="00893B79" w:rsidRPr="007A5E1B" w:rsidRDefault="00893B79" w:rsidP="00F066FA">
            <w:pPr>
              <w:pStyle w:val="BodyTextIndent"/>
              <w:ind w:left="0"/>
              <w:rPr>
                <w:sz w:val="22"/>
              </w:rPr>
            </w:pPr>
            <w:r w:rsidRPr="007A5E1B">
              <w:rPr>
                <w:sz w:val="22"/>
              </w:rPr>
              <w:t>CSC Elective</w:t>
            </w:r>
          </w:p>
        </w:tc>
        <w:tc>
          <w:tcPr>
            <w:tcW w:w="1640" w:type="dxa"/>
          </w:tcPr>
          <w:p w14:paraId="5A162810" w14:textId="6CB26876" w:rsidR="00893B79" w:rsidRPr="007A5E1B" w:rsidRDefault="00893B79" w:rsidP="00F066FA">
            <w:pPr>
              <w:pStyle w:val="BodyTextIndent"/>
              <w:ind w:left="0"/>
              <w:rPr>
                <w:sz w:val="22"/>
              </w:rPr>
            </w:pPr>
            <w:r w:rsidRPr="007A5E1B">
              <w:rPr>
                <w:sz w:val="22"/>
              </w:rPr>
              <w:t>D2016, D2018, F2020</w:t>
            </w:r>
          </w:p>
        </w:tc>
        <w:tc>
          <w:tcPr>
            <w:tcW w:w="3089" w:type="dxa"/>
          </w:tcPr>
          <w:p w14:paraId="0F658201" w14:textId="57B51C93" w:rsidR="00893B79" w:rsidRPr="007A5E1B" w:rsidRDefault="00893B79" w:rsidP="00F066FA">
            <w:pPr>
              <w:pStyle w:val="BodyTextIndent"/>
              <w:ind w:left="0"/>
              <w:rPr>
                <w:sz w:val="22"/>
              </w:rPr>
            </w:pPr>
            <w:r w:rsidRPr="007A5E1B">
              <w:rPr>
                <w:sz w:val="22"/>
              </w:rPr>
              <w:t>1 full time instructor</w:t>
            </w:r>
          </w:p>
        </w:tc>
      </w:tr>
      <w:tr w:rsidR="00893B79" w14:paraId="14148992" w14:textId="77777777" w:rsidTr="00893B79">
        <w:tc>
          <w:tcPr>
            <w:tcW w:w="2187" w:type="dxa"/>
          </w:tcPr>
          <w:p w14:paraId="604D07A6" w14:textId="77777777" w:rsidR="00893B79" w:rsidRPr="007A5E1B" w:rsidRDefault="00893B79" w:rsidP="00F066FA">
            <w:pPr>
              <w:pStyle w:val="BodyTextIndent"/>
              <w:ind w:left="0"/>
              <w:rPr>
                <w:sz w:val="22"/>
              </w:rPr>
            </w:pPr>
            <w:r w:rsidRPr="007A5E1B">
              <w:rPr>
                <w:sz w:val="22"/>
              </w:rPr>
              <w:t>CSC3100 – O/S</w:t>
            </w:r>
          </w:p>
        </w:tc>
        <w:tc>
          <w:tcPr>
            <w:tcW w:w="1509" w:type="dxa"/>
          </w:tcPr>
          <w:p w14:paraId="062B64EB" w14:textId="77777777" w:rsidR="00893B79" w:rsidRPr="007A5E1B" w:rsidRDefault="00893B79" w:rsidP="00F066FA">
            <w:pPr>
              <w:pStyle w:val="BodyTextIndent"/>
              <w:ind w:left="0"/>
              <w:rPr>
                <w:sz w:val="22"/>
              </w:rPr>
            </w:pPr>
            <w:r w:rsidRPr="007A5E1B">
              <w:rPr>
                <w:sz w:val="22"/>
              </w:rPr>
              <w:t>2</w:t>
            </w:r>
          </w:p>
        </w:tc>
        <w:tc>
          <w:tcPr>
            <w:tcW w:w="1745" w:type="dxa"/>
          </w:tcPr>
          <w:p w14:paraId="6FC043C6" w14:textId="35E7FD9F" w:rsidR="00893B79" w:rsidRPr="007A5E1B" w:rsidRDefault="00893B79" w:rsidP="00F066FA">
            <w:pPr>
              <w:pStyle w:val="BodyTextIndent"/>
              <w:ind w:left="0"/>
              <w:rPr>
                <w:sz w:val="22"/>
              </w:rPr>
            </w:pPr>
            <w:r w:rsidRPr="007A5E1B">
              <w:rPr>
                <w:sz w:val="22"/>
              </w:rPr>
              <w:t>CSC Elective</w:t>
            </w:r>
          </w:p>
        </w:tc>
        <w:tc>
          <w:tcPr>
            <w:tcW w:w="1640" w:type="dxa"/>
          </w:tcPr>
          <w:p w14:paraId="26A5CD6A" w14:textId="04FE4873" w:rsidR="00893B79" w:rsidRPr="007A5E1B" w:rsidRDefault="00893B79" w:rsidP="00F066FA">
            <w:pPr>
              <w:pStyle w:val="BodyTextIndent"/>
              <w:ind w:left="0"/>
              <w:rPr>
                <w:sz w:val="22"/>
              </w:rPr>
            </w:pPr>
            <w:r w:rsidRPr="007A5E1B">
              <w:rPr>
                <w:sz w:val="22"/>
              </w:rPr>
              <w:t>S2015,S2020</w:t>
            </w:r>
          </w:p>
        </w:tc>
        <w:tc>
          <w:tcPr>
            <w:tcW w:w="3089" w:type="dxa"/>
          </w:tcPr>
          <w:p w14:paraId="49CB3747" w14:textId="1F0BE6E6" w:rsidR="00893B79" w:rsidRPr="007A5E1B" w:rsidRDefault="00893B79" w:rsidP="00F066FA">
            <w:pPr>
              <w:pStyle w:val="BodyTextIndent"/>
              <w:ind w:left="0"/>
              <w:rPr>
                <w:sz w:val="22"/>
              </w:rPr>
            </w:pPr>
            <w:r w:rsidRPr="007A5E1B">
              <w:rPr>
                <w:sz w:val="22"/>
              </w:rPr>
              <w:t>1 full time instructor</w:t>
            </w:r>
          </w:p>
        </w:tc>
      </w:tr>
      <w:tr w:rsidR="00893B79" w14:paraId="30D4FA38" w14:textId="77777777" w:rsidTr="00893B79">
        <w:tc>
          <w:tcPr>
            <w:tcW w:w="2187" w:type="dxa"/>
          </w:tcPr>
          <w:p w14:paraId="72EE534B" w14:textId="77777777" w:rsidR="00893B79" w:rsidRPr="007A5E1B" w:rsidRDefault="00893B79" w:rsidP="00F066FA">
            <w:pPr>
              <w:pStyle w:val="BodyTextIndent"/>
              <w:ind w:left="0"/>
              <w:rPr>
                <w:sz w:val="22"/>
              </w:rPr>
            </w:pPr>
            <w:r w:rsidRPr="007A5E1B">
              <w:rPr>
                <w:sz w:val="22"/>
              </w:rPr>
              <w:t>CSC4500 – Database</w:t>
            </w:r>
          </w:p>
        </w:tc>
        <w:tc>
          <w:tcPr>
            <w:tcW w:w="1509" w:type="dxa"/>
          </w:tcPr>
          <w:p w14:paraId="3BFE595C" w14:textId="77777777" w:rsidR="00893B79" w:rsidRPr="007A5E1B" w:rsidRDefault="00893B79" w:rsidP="00F066FA">
            <w:pPr>
              <w:pStyle w:val="BodyTextIndent"/>
              <w:ind w:left="0"/>
              <w:rPr>
                <w:sz w:val="22"/>
              </w:rPr>
            </w:pPr>
            <w:r w:rsidRPr="007A5E1B">
              <w:rPr>
                <w:sz w:val="22"/>
              </w:rPr>
              <w:t>2</w:t>
            </w:r>
          </w:p>
        </w:tc>
        <w:tc>
          <w:tcPr>
            <w:tcW w:w="1745" w:type="dxa"/>
          </w:tcPr>
          <w:p w14:paraId="77B78CDD" w14:textId="57814EB0" w:rsidR="00893B79" w:rsidRPr="007A5E1B" w:rsidRDefault="00893B79" w:rsidP="00F066FA">
            <w:pPr>
              <w:pStyle w:val="BodyTextIndent"/>
              <w:ind w:left="0"/>
              <w:rPr>
                <w:sz w:val="22"/>
              </w:rPr>
            </w:pPr>
            <w:r w:rsidRPr="007A5E1B">
              <w:rPr>
                <w:sz w:val="22"/>
              </w:rPr>
              <w:t>CSC Required</w:t>
            </w:r>
          </w:p>
        </w:tc>
        <w:tc>
          <w:tcPr>
            <w:tcW w:w="1640" w:type="dxa"/>
          </w:tcPr>
          <w:p w14:paraId="67563E6A" w14:textId="203EA71B" w:rsidR="00893B79" w:rsidRPr="007A5E1B" w:rsidRDefault="00893B79" w:rsidP="00F066FA">
            <w:pPr>
              <w:pStyle w:val="BodyTextIndent"/>
              <w:ind w:left="0"/>
              <w:rPr>
                <w:sz w:val="22"/>
              </w:rPr>
            </w:pPr>
            <w:r w:rsidRPr="007A5E1B">
              <w:rPr>
                <w:sz w:val="22"/>
              </w:rPr>
              <w:t>F2020</w:t>
            </w:r>
          </w:p>
        </w:tc>
        <w:tc>
          <w:tcPr>
            <w:tcW w:w="3089" w:type="dxa"/>
          </w:tcPr>
          <w:p w14:paraId="27B6F4AB" w14:textId="6BAFB9C8" w:rsidR="00893B79" w:rsidRPr="007A5E1B" w:rsidRDefault="00893B79" w:rsidP="00F066FA">
            <w:pPr>
              <w:pStyle w:val="BodyTextIndent"/>
              <w:ind w:left="0"/>
              <w:rPr>
                <w:sz w:val="22"/>
              </w:rPr>
            </w:pPr>
            <w:r w:rsidRPr="007A5E1B">
              <w:rPr>
                <w:sz w:val="22"/>
              </w:rPr>
              <w:t>1 full time instructor during Covid change,</w:t>
            </w:r>
          </w:p>
        </w:tc>
      </w:tr>
      <w:tr w:rsidR="00893B79" w14:paraId="2D6E7386" w14:textId="77777777" w:rsidTr="00893B79">
        <w:tc>
          <w:tcPr>
            <w:tcW w:w="2187" w:type="dxa"/>
          </w:tcPr>
          <w:p w14:paraId="759015B9" w14:textId="77777777" w:rsidR="00893B79" w:rsidRPr="007A5E1B" w:rsidRDefault="00893B79" w:rsidP="00F066FA">
            <w:pPr>
              <w:pStyle w:val="BodyTextIndent"/>
              <w:ind w:left="0"/>
              <w:rPr>
                <w:sz w:val="22"/>
              </w:rPr>
            </w:pPr>
            <w:r w:rsidRPr="007A5E1B">
              <w:rPr>
                <w:sz w:val="22"/>
              </w:rPr>
              <w:t>CSCC 3610 – Data Structures</w:t>
            </w:r>
          </w:p>
        </w:tc>
        <w:tc>
          <w:tcPr>
            <w:tcW w:w="1509" w:type="dxa"/>
          </w:tcPr>
          <w:p w14:paraId="339E632D" w14:textId="77777777" w:rsidR="00893B79" w:rsidRPr="007A5E1B" w:rsidRDefault="00893B79" w:rsidP="00F066FA">
            <w:pPr>
              <w:pStyle w:val="BodyTextIndent"/>
              <w:ind w:left="0"/>
              <w:rPr>
                <w:sz w:val="22"/>
              </w:rPr>
            </w:pPr>
            <w:r w:rsidRPr="007A5E1B">
              <w:rPr>
                <w:sz w:val="22"/>
              </w:rPr>
              <w:t>1</w:t>
            </w:r>
          </w:p>
        </w:tc>
        <w:tc>
          <w:tcPr>
            <w:tcW w:w="1745" w:type="dxa"/>
          </w:tcPr>
          <w:p w14:paraId="4560A6AD" w14:textId="7F01779B" w:rsidR="00893B79" w:rsidRPr="007A5E1B" w:rsidRDefault="00893B79" w:rsidP="00F066FA">
            <w:pPr>
              <w:pStyle w:val="BodyTextIndent"/>
              <w:ind w:left="0"/>
              <w:rPr>
                <w:sz w:val="22"/>
              </w:rPr>
            </w:pPr>
            <w:r w:rsidRPr="007A5E1B">
              <w:rPr>
                <w:sz w:val="22"/>
              </w:rPr>
              <w:t>CSC Required</w:t>
            </w:r>
          </w:p>
        </w:tc>
        <w:tc>
          <w:tcPr>
            <w:tcW w:w="1640" w:type="dxa"/>
          </w:tcPr>
          <w:p w14:paraId="4AF76A98" w14:textId="6772E9D7" w:rsidR="00893B79" w:rsidRPr="007A5E1B" w:rsidRDefault="00893B79" w:rsidP="00F066FA">
            <w:pPr>
              <w:pStyle w:val="BodyTextIndent"/>
              <w:ind w:left="0"/>
              <w:rPr>
                <w:sz w:val="22"/>
              </w:rPr>
            </w:pPr>
            <w:r w:rsidRPr="007A5E1B">
              <w:rPr>
                <w:sz w:val="22"/>
              </w:rPr>
              <w:t>F2019</w:t>
            </w:r>
          </w:p>
        </w:tc>
        <w:tc>
          <w:tcPr>
            <w:tcW w:w="3089" w:type="dxa"/>
          </w:tcPr>
          <w:p w14:paraId="5E4F90AF" w14:textId="6D458566" w:rsidR="00893B79" w:rsidRPr="007A5E1B" w:rsidRDefault="00893B79" w:rsidP="00F066FA">
            <w:pPr>
              <w:pStyle w:val="BodyTextIndent"/>
              <w:ind w:left="0"/>
              <w:rPr>
                <w:sz w:val="22"/>
              </w:rPr>
            </w:pPr>
            <w:r w:rsidRPr="007A5E1B">
              <w:rPr>
                <w:sz w:val="22"/>
              </w:rPr>
              <w:t>1 full time instructor</w:t>
            </w:r>
          </w:p>
        </w:tc>
      </w:tr>
      <w:tr w:rsidR="00893B79" w14:paraId="44C80A09" w14:textId="77777777" w:rsidTr="00893B79">
        <w:tc>
          <w:tcPr>
            <w:tcW w:w="2187" w:type="dxa"/>
          </w:tcPr>
          <w:p w14:paraId="0152AF61" w14:textId="77777777" w:rsidR="00893B79" w:rsidRPr="007A5E1B" w:rsidRDefault="00893B79" w:rsidP="00F066FA">
            <w:pPr>
              <w:pStyle w:val="BodyTextIndent"/>
              <w:ind w:left="0"/>
              <w:rPr>
                <w:sz w:val="22"/>
              </w:rPr>
            </w:pPr>
            <w:r w:rsidRPr="007A5E1B">
              <w:rPr>
                <w:sz w:val="22"/>
              </w:rPr>
              <w:t>CSC4210 Mobile App</w:t>
            </w:r>
          </w:p>
        </w:tc>
        <w:tc>
          <w:tcPr>
            <w:tcW w:w="1509" w:type="dxa"/>
          </w:tcPr>
          <w:p w14:paraId="5C1ECB97" w14:textId="77777777" w:rsidR="00893B79" w:rsidRPr="007A5E1B" w:rsidRDefault="00893B79" w:rsidP="00F066FA">
            <w:pPr>
              <w:pStyle w:val="BodyTextIndent"/>
              <w:ind w:left="0"/>
              <w:rPr>
                <w:sz w:val="22"/>
              </w:rPr>
            </w:pPr>
            <w:r w:rsidRPr="007A5E1B">
              <w:rPr>
                <w:sz w:val="22"/>
              </w:rPr>
              <w:t>1</w:t>
            </w:r>
          </w:p>
        </w:tc>
        <w:tc>
          <w:tcPr>
            <w:tcW w:w="1745" w:type="dxa"/>
          </w:tcPr>
          <w:p w14:paraId="67BB0DFA" w14:textId="1210CCA8" w:rsidR="00893B79" w:rsidRPr="007A5E1B" w:rsidRDefault="00893B79" w:rsidP="00F066FA">
            <w:pPr>
              <w:pStyle w:val="BodyTextIndent"/>
              <w:ind w:left="0"/>
              <w:rPr>
                <w:sz w:val="22"/>
              </w:rPr>
            </w:pPr>
            <w:r w:rsidRPr="007A5E1B">
              <w:rPr>
                <w:sz w:val="22"/>
              </w:rPr>
              <w:t>CSC Elective</w:t>
            </w:r>
          </w:p>
        </w:tc>
        <w:tc>
          <w:tcPr>
            <w:tcW w:w="1640" w:type="dxa"/>
          </w:tcPr>
          <w:p w14:paraId="5F8FA3E9" w14:textId="15B183B8" w:rsidR="00893B79" w:rsidRPr="007A5E1B" w:rsidRDefault="00893B79" w:rsidP="00F066FA">
            <w:pPr>
              <w:pStyle w:val="BodyTextIndent"/>
              <w:ind w:left="0"/>
              <w:rPr>
                <w:sz w:val="22"/>
              </w:rPr>
            </w:pPr>
            <w:r w:rsidRPr="007A5E1B">
              <w:rPr>
                <w:sz w:val="22"/>
              </w:rPr>
              <w:t>S2018</w:t>
            </w:r>
          </w:p>
        </w:tc>
        <w:tc>
          <w:tcPr>
            <w:tcW w:w="3089" w:type="dxa"/>
          </w:tcPr>
          <w:p w14:paraId="24755845" w14:textId="10C1380A" w:rsidR="00893B79" w:rsidRPr="007A5E1B" w:rsidRDefault="00893B79" w:rsidP="00F066FA">
            <w:pPr>
              <w:pStyle w:val="BodyTextIndent"/>
              <w:ind w:left="0"/>
              <w:rPr>
                <w:sz w:val="22"/>
              </w:rPr>
            </w:pPr>
            <w:r w:rsidRPr="007A5E1B">
              <w:rPr>
                <w:sz w:val="22"/>
              </w:rPr>
              <w:t xml:space="preserve">1 full time instructor added to the course with less than 1week prep time from the Math Department. </w:t>
            </w:r>
          </w:p>
        </w:tc>
      </w:tr>
    </w:tbl>
    <w:p w14:paraId="4668AA6E" w14:textId="6F6B6B60" w:rsidR="0064119A" w:rsidRDefault="0064119A" w:rsidP="004F032B">
      <w:pPr>
        <w:pStyle w:val="BodyTextIndent"/>
        <w:ind w:left="1080"/>
      </w:pPr>
    </w:p>
    <w:p w14:paraId="48CB9462" w14:textId="450850AA" w:rsidR="00FC4D01" w:rsidRDefault="00FC4D01" w:rsidP="00FC4D01">
      <w:pPr>
        <w:pStyle w:val="BodyTextIndent"/>
        <w:ind w:left="1080"/>
      </w:pPr>
    </w:p>
    <w:p w14:paraId="6B0B5429" w14:textId="2CA890E6" w:rsidR="00FC4D01" w:rsidRDefault="00FC4D01" w:rsidP="00FC4D01">
      <w:pPr>
        <w:pStyle w:val="BodyTextIndent"/>
        <w:ind w:left="1080"/>
      </w:pPr>
    </w:p>
    <w:p w14:paraId="398B2CE1" w14:textId="4A3054BE" w:rsidR="00FC4D01" w:rsidRDefault="00FC4D01" w:rsidP="00FC4D01">
      <w:pPr>
        <w:pStyle w:val="BodyTextIndent"/>
      </w:pPr>
      <w:r>
        <w:t xml:space="preserve">Based on the above assessment information the following lists some action steps </w:t>
      </w:r>
    </w:p>
    <w:p w14:paraId="1EADFF43" w14:textId="1C8AF51C" w:rsidR="00FC4D01" w:rsidRDefault="00FC4D01" w:rsidP="00FC4D01">
      <w:pPr>
        <w:pStyle w:val="BodyTextIndent"/>
        <w:numPr>
          <w:ilvl w:val="0"/>
          <w:numId w:val="16"/>
        </w:numPr>
      </w:pPr>
      <w:r>
        <w:t>Adjunct Plan</w:t>
      </w:r>
    </w:p>
    <w:p w14:paraId="19E9F317" w14:textId="3DB62D61" w:rsidR="00FC4D01" w:rsidRDefault="00FC4D01" w:rsidP="00FC4D01">
      <w:pPr>
        <w:pStyle w:val="BodyTextIndent"/>
        <w:numPr>
          <w:ilvl w:val="0"/>
          <w:numId w:val="16"/>
        </w:numPr>
      </w:pPr>
      <w:r>
        <w:t>Assessment</w:t>
      </w:r>
    </w:p>
    <w:p w14:paraId="10F7B736" w14:textId="0A0BD2F6" w:rsidR="00FC4D01" w:rsidRDefault="003C453C" w:rsidP="00FC4D01">
      <w:pPr>
        <w:pStyle w:val="BodyTextIndent"/>
        <w:numPr>
          <w:ilvl w:val="0"/>
          <w:numId w:val="16"/>
        </w:numPr>
      </w:pPr>
      <w:r>
        <w:t>Student Outcomes</w:t>
      </w:r>
    </w:p>
    <w:p w14:paraId="02A8DF0B" w14:textId="4410EBAB" w:rsidR="003C453C" w:rsidRDefault="003C453C" w:rsidP="00FC4D01">
      <w:pPr>
        <w:pStyle w:val="BodyTextIndent"/>
        <w:numPr>
          <w:ilvl w:val="0"/>
          <w:numId w:val="16"/>
        </w:numPr>
      </w:pPr>
      <w:r>
        <w:t>Underperforming Courses</w:t>
      </w:r>
    </w:p>
    <w:p w14:paraId="582DCB79" w14:textId="77777777" w:rsidR="003C453C" w:rsidRDefault="003C453C" w:rsidP="00FC4D01">
      <w:pPr>
        <w:pStyle w:val="BodyTextIndent"/>
        <w:numPr>
          <w:ilvl w:val="0"/>
          <w:numId w:val="16"/>
        </w:numPr>
      </w:pPr>
    </w:p>
    <w:p w14:paraId="2AFC7AD3" w14:textId="54A493EB" w:rsidR="004C49D6" w:rsidRDefault="004C49D6" w:rsidP="00DA34CA">
      <w:pPr>
        <w:pStyle w:val="BodyTextIndent"/>
        <w:numPr>
          <w:ilvl w:val="0"/>
          <w:numId w:val="8"/>
        </w:numPr>
      </w:pPr>
      <w:r>
        <w:t>Quality of curriculum</w:t>
      </w:r>
      <w:r w:rsidR="00343110">
        <w:t xml:space="preserve"> - W</w:t>
      </w:r>
      <w:r w:rsidR="00DA34CA">
        <w:t>hat do the reports suggest about the quality of the curriculum and how the quality has changed over time? What do the reports suggest about actions that could be taken to improve quality of the curriculum?</w:t>
      </w:r>
    </w:p>
    <w:p w14:paraId="68C081B5" w14:textId="77777777" w:rsidR="003B08A2" w:rsidRDefault="003B08A2" w:rsidP="003B08A2">
      <w:pPr>
        <w:pStyle w:val="BodyTextIndent"/>
        <w:numPr>
          <w:ilvl w:val="0"/>
          <w:numId w:val="8"/>
        </w:numPr>
      </w:pPr>
      <w:r>
        <w:t>Quality of Curriculum</w:t>
      </w:r>
    </w:p>
    <w:p w14:paraId="3C3CDB17" w14:textId="77777777" w:rsidR="003B08A2" w:rsidRDefault="003B08A2" w:rsidP="003B08A2">
      <w:pPr>
        <w:pStyle w:val="BodyTextIndent"/>
      </w:pPr>
    </w:p>
    <w:p w14:paraId="425E1B95" w14:textId="6EA4171A" w:rsidR="00415D75" w:rsidRDefault="00415D75" w:rsidP="00BD6544">
      <w:pPr>
        <w:pStyle w:val="BodyTextIndent"/>
        <w:ind w:left="0"/>
      </w:pPr>
    </w:p>
    <w:p w14:paraId="77F013A7" w14:textId="77777777" w:rsidR="003B08A2" w:rsidRDefault="003B08A2" w:rsidP="003B08A2">
      <w:pPr>
        <w:pStyle w:val="BodyTextIndent"/>
      </w:pPr>
    </w:p>
    <w:p w14:paraId="502EF8BC" w14:textId="25A2E4C2" w:rsidR="003B08A2" w:rsidRDefault="004C042C" w:rsidP="003B08A2">
      <w:pPr>
        <w:pStyle w:val="BodyTextIndent"/>
      </w:pPr>
      <w:r>
        <w:t>Currently, C</w:t>
      </w:r>
      <w:r w:rsidR="003B08A2">
        <w:t xml:space="preserve">SC majors are required to complete ten courses totaling 40 semester hours. Course descriptions and sample syllabi have </w:t>
      </w:r>
      <w:r>
        <w:t xml:space="preserve">been posted to Moodle. Ideally, </w:t>
      </w:r>
      <w:r w:rsidR="003B08A2">
        <w:t>students complete courses as follows:</w:t>
      </w:r>
    </w:p>
    <w:p w14:paraId="350922EF" w14:textId="4D9478FF" w:rsidR="003B08A2" w:rsidRDefault="00CA1BBB" w:rsidP="00CA1BBB">
      <w:pPr>
        <w:pStyle w:val="BodyTextIndent"/>
        <w:tabs>
          <w:tab w:val="left" w:pos="5668"/>
        </w:tabs>
      </w:pPr>
      <w:r>
        <w:tab/>
      </w:r>
    </w:p>
    <w:p w14:paraId="3A8DEE1C" w14:textId="77777777" w:rsidR="003B08A2" w:rsidRDefault="003B08A2" w:rsidP="003B08A2">
      <w:pPr>
        <w:pStyle w:val="BodyTextIndent"/>
        <w:rPr>
          <w:u w:val="single"/>
        </w:rPr>
      </w:pPr>
      <w:r>
        <w:tab/>
      </w:r>
      <w:r>
        <w:rPr>
          <w:u w:val="single"/>
        </w:rPr>
        <w:t>First Year</w:t>
      </w:r>
    </w:p>
    <w:p w14:paraId="71F4865B" w14:textId="7C989875" w:rsidR="003B08A2" w:rsidRDefault="00BD6544" w:rsidP="003B08A2">
      <w:pPr>
        <w:pStyle w:val="BodyTextIndent"/>
      </w:pPr>
      <w:r>
        <w:tab/>
        <w:t>CSC 1700 Introduction to Computer Programming</w:t>
      </w:r>
    </w:p>
    <w:p w14:paraId="4CD33743" w14:textId="59F0FC15" w:rsidR="003B08A2" w:rsidRDefault="00BD6544" w:rsidP="003B08A2">
      <w:pPr>
        <w:pStyle w:val="BodyTextIndent"/>
      </w:pPr>
      <w:r>
        <w:tab/>
        <w:t>CSC 2200 Introduction to Web Application Development</w:t>
      </w:r>
    </w:p>
    <w:p w14:paraId="2149496C" w14:textId="71F16DE7" w:rsidR="003B08A2" w:rsidRDefault="00BD6544" w:rsidP="00BD6544">
      <w:pPr>
        <w:pStyle w:val="BodyTextIndent"/>
      </w:pPr>
      <w:r>
        <w:tab/>
        <w:t xml:space="preserve"> </w:t>
      </w:r>
    </w:p>
    <w:p w14:paraId="7467AE5A" w14:textId="6940133E" w:rsidR="003B08A2" w:rsidRDefault="003B08A2" w:rsidP="00BD6544">
      <w:pPr>
        <w:pStyle w:val="BodyTextIndent"/>
        <w:rPr>
          <w:u w:val="single"/>
        </w:rPr>
      </w:pPr>
      <w:r>
        <w:tab/>
      </w:r>
      <w:r>
        <w:rPr>
          <w:u w:val="single"/>
        </w:rPr>
        <w:t>Second and Third Years</w:t>
      </w:r>
    </w:p>
    <w:p w14:paraId="64E70A43" w14:textId="56122489" w:rsidR="00BD6544" w:rsidRDefault="00BD6544" w:rsidP="00BD6544">
      <w:pPr>
        <w:pStyle w:val="BodyTextIndent"/>
      </w:pPr>
      <w:r>
        <w:t xml:space="preserve">      CSC 2300 Computer Architecture</w:t>
      </w:r>
    </w:p>
    <w:p w14:paraId="11109216" w14:textId="53F2B91C" w:rsidR="00BD6544" w:rsidRDefault="00BD6544" w:rsidP="00CA1BBB">
      <w:pPr>
        <w:pStyle w:val="BodyTextIndent"/>
        <w:tabs>
          <w:tab w:val="left" w:pos="5645"/>
        </w:tabs>
        <w:rPr>
          <w:u w:val="single"/>
        </w:rPr>
      </w:pPr>
      <w:r>
        <w:t xml:space="preserve">      CSC 2660 Object Oriented Programming</w:t>
      </w:r>
      <w:r w:rsidR="00CA1BBB">
        <w:tab/>
      </w:r>
    </w:p>
    <w:p w14:paraId="4898B37F" w14:textId="52B4FA91" w:rsidR="003B08A2" w:rsidRDefault="003B08A2" w:rsidP="003B08A2">
      <w:pPr>
        <w:pStyle w:val="BodyTextIndent"/>
      </w:pPr>
      <w:r>
        <w:tab/>
      </w:r>
      <w:r w:rsidR="00BD6544">
        <w:t xml:space="preserve">CSC 3660 Data Structures </w:t>
      </w:r>
    </w:p>
    <w:p w14:paraId="03FD6924" w14:textId="178CA488" w:rsidR="00BD6544" w:rsidRDefault="00BD6544" w:rsidP="003B08A2">
      <w:pPr>
        <w:pStyle w:val="BodyTextIndent"/>
      </w:pPr>
    </w:p>
    <w:p w14:paraId="3095F8B0" w14:textId="1FBF58D4" w:rsidR="00BD6544" w:rsidRPr="00BD6544" w:rsidRDefault="00BD6544" w:rsidP="00BD6544">
      <w:pPr>
        <w:pStyle w:val="BodyTextIndent"/>
        <w:rPr>
          <w:u w:val="single"/>
        </w:rPr>
      </w:pPr>
      <w:r>
        <w:tab/>
      </w:r>
      <w:r>
        <w:rPr>
          <w:u w:val="single"/>
        </w:rPr>
        <w:t>Fourth Year</w:t>
      </w:r>
    </w:p>
    <w:p w14:paraId="7E97E760" w14:textId="41D7E3DF" w:rsidR="00BD6544" w:rsidRDefault="00BD6544" w:rsidP="003B08A2">
      <w:pPr>
        <w:pStyle w:val="BodyTextIndent"/>
      </w:pPr>
      <w:r>
        <w:t xml:space="preserve">      CSC 4340 Software Engineering</w:t>
      </w:r>
    </w:p>
    <w:p w14:paraId="124DC3F2" w14:textId="5ADBB971" w:rsidR="00BD6544" w:rsidRDefault="00BD6544" w:rsidP="003B08A2">
      <w:pPr>
        <w:pStyle w:val="BodyTextIndent"/>
      </w:pPr>
      <w:r>
        <w:t xml:space="preserve">      CSC 4500 Database</w:t>
      </w:r>
    </w:p>
    <w:p w14:paraId="3A661531" w14:textId="0226A63B" w:rsidR="00BD6544" w:rsidRDefault="00BD6544" w:rsidP="003B08A2">
      <w:pPr>
        <w:pStyle w:val="BodyTextIndent"/>
      </w:pPr>
      <w:r>
        <w:t xml:space="preserve">      CSC 4990 Capstone</w:t>
      </w:r>
    </w:p>
    <w:p w14:paraId="5552F987" w14:textId="77777777" w:rsidR="003B08A2" w:rsidRDefault="003B08A2" w:rsidP="003B08A2">
      <w:pPr>
        <w:pStyle w:val="BodyTextIndent"/>
      </w:pPr>
    </w:p>
    <w:p w14:paraId="6B3B9A84" w14:textId="2C26C41D" w:rsidR="003B08A2" w:rsidRDefault="003B08A2" w:rsidP="003B08A2">
      <w:pPr>
        <w:pStyle w:val="BodyTextIndent"/>
      </w:pPr>
      <w:r>
        <w:t>In practice, students often take these courses out of order depending on when they declare the major, whether they have transferred to the university, and when courses are offered. This means that first year students may be enrolled in 3000 level classes, and graduating seniors</w:t>
      </w:r>
      <w:r w:rsidR="00B65E00">
        <w:t xml:space="preserve"> might be enrolled in a </w:t>
      </w:r>
      <w:r>
        <w:t xml:space="preserve">2000 level class.  </w:t>
      </w:r>
    </w:p>
    <w:p w14:paraId="663E5F2E" w14:textId="01D64EF7" w:rsidR="00C07F25" w:rsidRDefault="00C07F25" w:rsidP="003B08A2">
      <w:pPr>
        <w:pStyle w:val="BodyTextIndent"/>
      </w:pPr>
    </w:p>
    <w:p w14:paraId="39E22803" w14:textId="77777777" w:rsidR="00C07F25" w:rsidRDefault="00C07F25" w:rsidP="00C07F25">
      <w:pPr>
        <w:pStyle w:val="BodyTextIndent"/>
      </w:pPr>
    </w:p>
    <w:p w14:paraId="3425D6A7" w14:textId="7B99896F" w:rsidR="00C07F25" w:rsidRDefault="00C07F25" w:rsidP="00C07F25">
      <w:pPr>
        <w:pStyle w:val="BodyTextIndent"/>
      </w:pPr>
      <w:r>
        <w:t>Overall, CSC courses are designed with these four program</w:t>
      </w:r>
      <w:r w:rsidR="00293056">
        <w:t>matic learning outcomes with 8 metrics that map the ABET criteria</w:t>
      </w:r>
    </w:p>
    <w:p w14:paraId="4C3A5DEF" w14:textId="76328857" w:rsidR="00293056" w:rsidRDefault="00293056" w:rsidP="00C07F25">
      <w:pPr>
        <w:pStyle w:val="BodyTextIndent"/>
      </w:pPr>
    </w:p>
    <w:p w14:paraId="0BA56EBD" w14:textId="64960952" w:rsidR="00293056" w:rsidRDefault="00293056" w:rsidP="00C07F25">
      <w:pPr>
        <w:pStyle w:val="BodyTextIndent"/>
      </w:pPr>
    </w:p>
    <w:p w14:paraId="6AF0859F" w14:textId="2843281D" w:rsidR="00293056" w:rsidRDefault="00293056" w:rsidP="00C07F25">
      <w:pPr>
        <w:pStyle w:val="BodyTextIndent"/>
      </w:pPr>
    </w:p>
    <w:p w14:paraId="3366A40C" w14:textId="03B02D17" w:rsidR="00293056" w:rsidRDefault="00293056" w:rsidP="00C07F25">
      <w:pPr>
        <w:pStyle w:val="BodyTextIndent"/>
      </w:pPr>
    </w:p>
    <w:p w14:paraId="18BE7ED5" w14:textId="5F14830D" w:rsidR="00293056" w:rsidRDefault="00293056" w:rsidP="00C07F25">
      <w:pPr>
        <w:pStyle w:val="BodyTextIndent"/>
      </w:pPr>
    </w:p>
    <w:p w14:paraId="30F4631D" w14:textId="2A8B1DC3" w:rsidR="00293056" w:rsidRDefault="00293056" w:rsidP="00C07F25">
      <w:pPr>
        <w:pStyle w:val="BodyTextIndent"/>
      </w:pPr>
    </w:p>
    <w:p w14:paraId="36018D98" w14:textId="74A1CC31" w:rsidR="00293056" w:rsidRDefault="00293056" w:rsidP="00C07F25">
      <w:pPr>
        <w:pStyle w:val="BodyTextIndent"/>
      </w:pPr>
    </w:p>
    <w:p w14:paraId="7E237B0B" w14:textId="32344FF4" w:rsidR="00293056" w:rsidRDefault="00293056" w:rsidP="00C07F25">
      <w:pPr>
        <w:pStyle w:val="BodyTextIndent"/>
      </w:pPr>
    </w:p>
    <w:p w14:paraId="1BEC2054" w14:textId="4CA10471" w:rsidR="00293056" w:rsidRDefault="00293056" w:rsidP="00C07F25">
      <w:pPr>
        <w:pStyle w:val="BodyTextIndent"/>
      </w:pPr>
    </w:p>
    <w:p w14:paraId="5834394B" w14:textId="6686CEB5" w:rsidR="00293056" w:rsidRDefault="00293056" w:rsidP="00C07F25">
      <w:pPr>
        <w:pStyle w:val="BodyTextIndent"/>
      </w:pPr>
    </w:p>
    <w:p w14:paraId="5CB4D523" w14:textId="20618253" w:rsidR="00293056" w:rsidRDefault="00293056" w:rsidP="00C07F25">
      <w:pPr>
        <w:pStyle w:val="BodyTextIndent"/>
      </w:pPr>
    </w:p>
    <w:p w14:paraId="57D15F20" w14:textId="163B3894" w:rsidR="00293056" w:rsidRDefault="00293056" w:rsidP="00C07F25">
      <w:pPr>
        <w:pStyle w:val="BodyTextIndent"/>
      </w:pPr>
    </w:p>
    <w:p w14:paraId="78F63318" w14:textId="77777777" w:rsidR="00293056" w:rsidRDefault="00293056" w:rsidP="00C07F25">
      <w:pPr>
        <w:pStyle w:val="BodyTextIndent"/>
      </w:pPr>
    </w:p>
    <w:p w14:paraId="6EE3EE98" w14:textId="77777777" w:rsidR="00293056" w:rsidRDefault="00293056" w:rsidP="00C07F25">
      <w:pPr>
        <w:pStyle w:val="BodyTextIndent"/>
      </w:pPr>
    </w:p>
    <w:p w14:paraId="67C9E11B" w14:textId="32B5A37A" w:rsidR="00293056" w:rsidRDefault="00BE3AA1" w:rsidP="00293056">
      <w:r>
        <w:rPr>
          <w:b/>
          <w:bCs/>
          <w:color w:val="000000"/>
          <w:sz w:val="18"/>
          <w:szCs w:val="18"/>
        </w:rPr>
        <w:t xml:space="preserve">CSC </w:t>
      </w:r>
      <w:r w:rsidR="00AE0F5D">
        <w:rPr>
          <w:b/>
          <w:bCs/>
          <w:color w:val="000000"/>
          <w:sz w:val="18"/>
          <w:szCs w:val="18"/>
        </w:rPr>
        <w:t>Program Outcomes</w:t>
      </w:r>
      <w:r w:rsidR="00293056">
        <w:rPr>
          <w:b/>
          <w:bCs/>
          <w:color w:val="000000"/>
          <w:sz w:val="18"/>
          <w:szCs w:val="18"/>
        </w:rPr>
        <w:t xml:space="preserve"> and ABET measurement criteria</w:t>
      </w:r>
    </w:p>
    <w:p w14:paraId="2AA89D29" w14:textId="04CC690B" w:rsidR="00C07F25" w:rsidRDefault="001A0168" w:rsidP="00C07F25">
      <w:pPr>
        <w:pStyle w:val="BodyTextIndent"/>
      </w:pPr>
      <w:r>
        <w:t xml:space="preserve"> </w:t>
      </w:r>
    </w:p>
    <w:tbl>
      <w:tblPr>
        <w:tblStyle w:val="TableGrid"/>
        <w:tblW w:w="10530" w:type="dxa"/>
        <w:tblInd w:w="-365" w:type="dxa"/>
        <w:tblLook w:val="04A0" w:firstRow="1" w:lastRow="0" w:firstColumn="1" w:lastColumn="0" w:noHBand="0" w:noVBand="1"/>
      </w:tblPr>
      <w:tblGrid>
        <w:gridCol w:w="2340"/>
        <w:gridCol w:w="3060"/>
        <w:gridCol w:w="5130"/>
      </w:tblGrid>
      <w:tr w:rsidR="00293056" w14:paraId="7B8DA4AC" w14:textId="77777777" w:rsidTr="00C45D3D">
        <w:tc>
          <w:tcPr>
            <w:tcW w:w="2340" w:type="dxa"/>
          </w:tcPr>
          <w:p w14:paraId="6C4AE6D7" w14:textId="77777777" w:rsidR="001A0168" w:rsidRDefault="001A0168" w:rsidP="00FC4D01">
            <w:pPr>
              <w:rPr>
                <w:rFonts w:cs="Calibri"/>
                <w:color w:val="000000"/>
                <w:sz w:val="18"/>
                <w:szCs w:val="18"/>
                <w:lang w:val="en"/>
              </w:rPr>
            </w:pPr>
          </w:p>
        </w:tc>
        <w:tc>
          <w:tcPr>
            <w:tcW w:w="3060" w:type="dxa"/>
          </w:tcPr>
          <w:p w14:paraId="1086BD78" w14:textId="77777777" w:rsidR="001A0168" w:rsidRPr="0030703F" w:rsidRDefault="001A0168" w:rsidP="00FC4D01">
            <w:pPr>
              <w:rPr>
                <w:rFonts w:cs="Calibri"/>
                <w:color w:val="000000"/>
                <w:sz w:val="18"/>
                <w:szCs w:val="18"/>
                <w:lang w:val="en"/>
              </w:rPr>
            </w:pPr>
            <w:r>
              <w:rPr>
                <w:rFonts w:cs="Calibri"/>
                <w:color w:val="000000"/>
                <w:sz w:val="18"/>
                <w:szCs w:val="18"/>
                <w:lang w:val="en"/>
              </w:rPr>
              <w:t>Program Outcome</w:t>
            </w:r>
          </w:p>
        </w:tc>
        <w:tc>
          <w:tcPr>
            <w:tcW w:w="5130" w:type="dxa"/>
          </w:tcPr>
          <w:p w14:paraId="1C1F65B5" w14:textId="1C43DDC5" w:rsidR="001A0168" w:rsidRPr="0030703F" w:rsidRDefault="001A0168" w:rsidP="00FC4D01">
            <w:pPr>
              <w:rPr>
                <w:rFonts w:cs="Calibri"/>
                <w:color w:val="000000"/>
                <w:sz w:val="18"/>
                <w:szCs w:val="18"/>
                <w:lang w:val="en"/>
              </w:rPr>
            </w:pPr>
            <w:r>
              <w:rPr>
                <w:rFonts w:cs="Calibri"/>
                <w:color w:val="000000"/>
                <w:sz w:val="18"/>
                <w:szCs w:val="18"/>
                <w:lang w:val="en"/>
              </w:rPr>
              <w:t>BET Outcome</w:t>
            </w:r>
          </w:p>
        </w:tc>
      </w:tr>
      <w:tr w:rsidR="00293056" w14:paraId="76C3F9EE" w14:textId="77777777" w:rsidTr="00C45D3D">
        <w:tc>
          <w:tcPr>
            <w:tcW w:w="2340" w:type="dxa"/>
          </w:tcPr>
          <w:p w14:paraId="03F3451D" w14:textId="430CAD94" w:rsidR="001A0168" w:rsidRPr="0030703F" w:rsidRDefault="00293056" w:rsidP="00FC4D01">
            <w:pPr>
              <w:rPr>
                <w:rFonts w:cs="Calibri"/>
                <w:color w:val="000000"/>
                <w:sz w:val="18"/>
                <w:szCs w:val="18"/>
                <w:lang w:val="en"/>
              </w:rPr>
            </w:pPr>
            <w:r>
              <w:rPr>
                <w:rFonts w:cs="Calibri"/>
                <w:color w:val="000000"/>
                <w:sz w:val="18"/>
                <w:szCs w:val="18"/>
                <w:lang w:val="en"/>
              </w:rPr>
              <w:t xml:space="preserve">PO1: </w:t>
            </w:r>
            <w:r w:rsidR="001A0168">
              <w:rPr>
                <w:rFonts w:cs="Calibri"/>
                <w:color w:val="000000"/>
                <w:sz w:val="18"/>
                <w:szCs w:val="18"/>
                <w:lang w:val="en"/>
              </w:rPr>
              <w:t>Computing/Mathematic Knowledge</w:t>
            </w:r>
          </w:p>
        </w:tc>
        <w:tc>
          <w:tcPr>
            <w:tcW w:w="3060" w:type="dxa"/>
          </w:tcPr>
          <w:p w14:paraId="26AF08EF" w14:textId="3B753E19" w:rsidR="001A0168" w:rsidRDefault="001A0168" w:rsidP="00FC4D01">
            <w:pPr>
              <w:rPr>
                <w:rFonts w:cs="Calibri"/>
                <w:color w:val="000000"/>
                <w:sz w:val="18"/>
                <w:szCs w:val="18"/>
                <w:lang w:val="en"/>
              </w:rPr>
            </w:pPr>
            <w:r w:rsidRPr="0030703F">
              <w:rPr>
                <w:color w:val="000000"/>
                <w:sz w:val="18"/>
                <w:szCs w:val="18"/>
              </w:rPr>
              <w:t xml:space="preserve"> Identify and analyze computer based systems, processes or components. Utilize their education to contribute critical and systemic thinking while recognizing ethical responsibilities</w:t>
            </w:r>
          </w:p>
          <w:p w14:paraId="23F6706C" w14:textId="77777777" w:rsidR="001A0168" w:rsidRPr="00B82323" w:rsidRDefault="001A0168" w:rsidP="00FC4D01">
            <w:pPr>
              <w:rPr>
                <w:rFonts w:cs="Calibri"/>
                <w:sz w:val="18"/>
                <w:szCs w:val="18"/>
                <w:lang w:val="en"/>
              </w:rPr>
            </w:pPr>
          </w:p>
        </w:tc>
        <w:tc>
          <w:tcPr>
            <w:tcW w:w="5130" w:type="dxa"/>
          </w:tcPr>
          <w:p w14:paraId="4043B088" w14:textId="77777777" w:rsidR="001A0168" w:rsidRDefault="001A0168" w:rsidP="00FC4D01">
            <w:pPr>
              <w:rPr>
                <w:rFonts w:cs="Calibri"/>
                <w:color w:val="000000"/>
                <w:sz w:val="18"/>
                <w:szCs w:val="18"/>
                <w:lang w:val="en"/>
              </w:rPr>
            </w:pPr>
            <w:r w:rsidRPr="0030703F">
              <w:rPr>
                <w:rFonts w:cs="Calibri"/>
                <w:color w:val="000000"/>
                <w:sz w:val="18"/>
                <w:szCs w:val="18"/>
                <w:lang w:val="en"/>
              </w:rPr>
              <w:t>(a)</w:t>
            </w:r>
            <w:r w:rsidRPr="0030703F">
              <w:rPr>
                <w:color w:val="000000"/>
                <w:sz w:val="18"/>
                <w:szCs w:val="18"/>
                <w:lang w:val="en"/>
              </w:rPr>
              <w:t> </w:t>
            </w:r>
            <w:r w:rsidRPr="0030703F">
              <w:rPr>
                <w:rFonts w:cs="Calibri"/>
                <w:color w:val="000000"/>
                <w:sz w:val="18"/>
                <w:szCs w:val="18"/>
                <w:lang w:val="en"/>
              </w:rPr>
              <w:t>An ability to apply knowledge of computing and mathematics appropriate to the discipline</w:t>
            </w:r>
          </w:p>
          <w:p w14:paraId="7FD82E50" w14:textId="77777777" w:rsidR="001A0168" w:rsidRDefault="001A0168" w:rsidP="00FC4D01">
            <w:pPr>
              <w:rPr>
                <w:rFonts w:cs="Calibri"/>
                <w:color w:val="000000"/>
                <w:sz w:val="18"/>
                <w:szCs w:val="18"/>
                <w:lang w:val="en"/>
              </w:rPr>
            </w:pPr>
            <w:r w:rsidRPr="0030703F">
              <w:rPr>
                <w:rFonts w:cs="Calibri"/>
                <w:color w:val="000000"/>
                <w:sz w:val="18"/>
                <w:szCs w:val="18"/>
                <w:lang w:val="en"/>
              </w:rPr>
              <w:t>(i) An ability to use current techniques, skills, and tools necessary for computing practice.</w:t>
            </w:r>
          </w:p>
          <w:p w14:paraId="2375BC42" w14:textId="77777777" w:rsidR="001A0168" w:rsidRDefault="001A0168" w:rsidP="00FC4D01">
            <w:pPr>
              <w:rPr>
                <w:b/>
                <w:bCs/>
                <w:color w:val="000000"/>
                <w:sz w:val="18"/>
                <w:szCs w:val="18"/>
              </w:rPr>
            </w:pPr>
          </w:p>
        </w:tc>
      </w:tr>
      <w:tr w:rsidR="00293056" w14:paraId="1705BFD0" w14:textId="77777777" w:rsidTr="00C45D3D">
        <w:tc>
          <w:tcPr>
            <w:tcW w:w="2340" w:type="dxa"/>
          </w:tcPr>
          <w:p w14:paraId="57580403" w14:textId="68A715D7" w:rsidR="001A0168" w:rsidRPr="0030703F" w:rsidRDefault="00293056" w:rsidP="00FC4D01">
            <w:pPr>
              <w:rPr>
                <w:rFonts w:cs="Calibri"/>
                <w:color w:val="000000"/>
                <w:sz w:val="18"/>
                <w:szCs w:val="18"/>
                <w:lang w:val="en"/>
              </w:rPr>
            </w:pPr>
            <w:r>
              <w:rPr>
                <w:rFonts w:cs="Calibri"/>
                <w:color w:val="000000"/>
                <w:sz w:val="18"/>
                <w:szCs w:val="18"/>
                <w:lang w:val="en"/>
              </w:rPr>
              <w:t xml:space="preserve">P2: </w:t>
            </w:r>
            <w:r w:rsidR="001A0168">
              <w:rPr>
                <w:rFonts w:cs="Calibri"/>
                <w:color w:val="000000"/>
                <w:sz w:val="18"/>
                <w:szCs w:val="18"/>
                <w:lang w:val="en"/>
              </w:rPr>
              <w:t>Team-work and communication</w:t>
            </w:r>
          </w:p>
        </w:tc>
        <w:tc>
          <w:tcPr>
            <w:tcW w:w="3060" w:type="dxa"/>
          </w:tcPr>
          <w:p w14:paraId="669EDE4C" w14:textId="6CA2C87A" w:rsidR="001A0168" w:rsidRPr="0030703F" w:rsidRDefault="001A0168" w:rsidP="00FC4D01">
            <w:pPr>
              <w:rPr>
                <w:rFonts w:cs="Calibri"/>
                <w:color w:val="000000"/>
                <w:sz w:val="18"/>
                <w:szCs w:val="18"/>
                <w:lang w:val="en"/>
              </w:rPr>
            </w:pPr>
            <w:r w:rsidRPr="0030703F">
              <w:rPr>
                <w:color w:val="000000"/>
                <w:sz w:val="18"/>
                <w:szCs w:val="18"/>
              </w:rPr>
              <w:t>Communicate and collaborate effectively when interacting with other individuals or serving on teams</w:t>
            </w:r>
          </w:p>
        </w:tc>
        <w:tc>
          <w:tcPr>
            <w:tcW w:w="5130" w:type="dxa"/>
          </w:tcPr>
          <w:p w14:paraId="77C3096F" w14:textId="77777777" w:rsidR="001A0168" w:rsidRDefault="001A0168" w:rsidP="00FC4D01">
            <w:pPr>
              <w:rPr>
                <w:rFonts w:cs="Calibri"/>
                <w:color w:val="000000"/>
                <w:sz w:val="18"/>
                <w:szCs w:val="18"/>
                <w:lang w:val="en"/>
              </w:rPr>
            </w:pPr>
            <w:r w:rsidRPr="0030703F">
              <w:rPr>
                <w:rFonts w:cs="Calibri"/>
                <w:color w:val="000000"/>
                <w:sz w:val="18"/>
                <w:szCs w:val="18"/>
                <w:lang w:val="en"/>
              </w:rPr>
              <w:t>(d) An ability to function effectively on teams to accomplish a common goal</w:t>
            </w:r>
            <w:r>
              <w:rPr>
                <w:rFonts w:cs="Calibri"/>
                <w:color w:val="000000"/>
                <w:sz w:val="18"/>
                <w:szCs w:val="18"/>
                <w:lang w:val="en"/>
              </w:rPr>
              <w:t>.</w:t>
            </w:r>
          </w:p>
          <w:p w14:paraId="104DE2E2" w14:textId="77777777" w:rsidR="001A0168" w:rsidRDefault="001A0168" w:rsidP="00FC4D01">
            <w:pPr>
              <w:rPr>
                <w:b/>
                <w:bCs/>
                <w:color w:val="000000"/>
                <w:sz w:val="18"/>
                <w:szCs w:val="18"/>
              </w:rPr>
            </w:pPr>
            <w:r>
              <w:rPr>
                <w:rFonts w:cs="Calibri"/>
                <w:color w:val="000000"/>
                <w:sz w:val="18"/>
                <w:szCs w:val="18"/>
                <w:lang w:val="en"/>
              </w:rPr>
              <w:t xml:space="preserve"> </w:t>
            </w:r>
            <w:r w:rsidRPr="0030703F">
              <w:rPr>
                <w:rFonts w:cs="Calibri"/>
                <w:color w:val="000000"/>
                <w:sz w:val="18"/>
                <w:szCs w:val="18"/>
                <w:lang w:val="en"/>
              </w:rPr>
              <w:t>(f) An ability to communicate effectively with a range of audiences</w:t>
            </w:r>
          </w:p>
        </w:tc>
      </w:tr>
      <w:tr w:rsidR="00293056" w14:paraId="4E211427" w14:textId="77777777" w:rsidTr="00C45D3D">
        <w:tc>
          <w:tcPr>
            <w:tcW w:w="2340" w:type="dxa"/>
          </w:tcPr>
          <w:p w14:paraId="529C3B85" w14:textId="50456E35" w:rsidR="001A0168" w:rsidRDefault="00293056" w:rsidP="00FC4D01">
            <w:pPr>
              <w:rPr>
                <w:rFonts w:cs="Calibri"/>
                <w:color w:val="000000"/>
                <w:sz w:val="18"/>
                <w:szCs w:val="18"/>
                <w:lang w:val="en"/>
              </w:rPr>
            </w:pPr>
            <w:r>
              <w:rPr>
                <w:rFonts w:cs="Calibri"/>
                <w:color w:val="000000"/>
                <w:sz w:val="18"/>
                <w:szCs w:val="18"/>
                <w:lang w:val="en"/>
              </w:rPr>
              <w:t xml:space="preserve">P3: </w:t>
            </w:r>
            <w:r w:rsidR="001A0168">
              <w:rPr>
                <w:rFonts w:cs="Calibri"/>
                <w:color w:val="000000"/>
                <w:sz w:val="18"/>
                <w:szCs w:val="18"/>
                <w:lang w:val="en"/>
              </w:rPr>
              <w:t>Define, Design, Develop</w:t>
            </w:r>
          </w:p>
        </w:tc>
        <w:tc>
          <w:tcPr>
            <w:tcW w:w="3060" w:type="dxa"/>
          </w:tcPr>
          <w:p w14:paraId="4EA4368E" w14:textId="6A55C968" w:rsidR="001A0168" w:rsidRDefault="001A0168" w:rsidP="00FC4D01">
            <w:pPr>
              <w:rPr>
                <w:color w:val="000000"/>
                <w:sz w:val="18"/>
                <w:szCs w:val="18"/>
              </w:rPr>
            </w:pPr>
            <w:r w:rsidRPr="0030703F">
              <w:rPr>
                <w:color w:val="000000"/>
                <w:sz w:val="18"/>
                <w:szCs w:val="18"/>
              </w:rPr>
              <w:t>Evaluate and develop solutions in an organization by integrating computer science practices of programming and theory.</w:t>
            </w:r>
          </w:p>
        </w:tc>
        <w:tc>
          <w:tcPr>
            <w:tcW w:w="5130" w:type="dxa"/>
          </w:tcPr>
          <w:p w14:paraId="0CCDCC3E" w14:textId="77777777" w:rsidR="001A0168" w:rsidRPr="0030703F" w:rsidRDefault="001A0168" w:rsidP="00FC4D01">
            <w:pPr>
              <w:rPr>
                <w:rFonts w:cs="Calibri"/>
                <w:color w:val="000000"/>
                <w:sz w:val="18"/>
                <w:szCs w:val="18"/>
                <w:lang w:val="en"/>
              </w:rPr>
            </w:pPr>
            <w:r w:rsidRPr="0030703F">
              <w:rPr>
                <w:rFonts w:cs="Calibri"/>
                <w:color w:val="000000"/>
                <w:sz w:val="18"/>
                <w:szCs w:val="18"/>
                <w:lang w:val="en"/>
              </w:rPr>
              <w:t>(b)</w:t>
            </w:r>
            <w:r w:rsidRPr="0030703F">
              <w:rPr>
                <w:color w:val="000000"/>
                <w:sz w:val="18"/>
                <w:szCs w:val="18"/>
                <w:lang w:val="en"/>
              </w:rPr>
              <w:t> </w:t>
            </w:r>
            <w:r w:rsidRPr="0030703F">
              <w:rPr>
                <w:rFonts w:cs="Calibri"/>
                <w:color w:val="000000"/>
                <w:sz w:val="18"/>
                <w:szCs w:val="18"/>
                <w:lang w:val="en"/>
              </w:rPr>
              <w:t xml:space="preserve">An ability to analyze a problem, and identify and define the computing requirements appropriate to its solution </w:t>
            </w:r>
            <w:r w:rsidRPr="0030703F">
              <w:rPr>
                <w:rFonts w:cs="Calibri"/>
                <w:color w:val="000000"/>
                <w:sz w:val="18"/>
                <w:szCs w:val="18"/>
                <w:lang w:val="en"/>
              </w:rPr>
              <w:br/>
              <w:t xml:space="preserve">(c) An ability to design, implement, and evaluate a computer-based system, process, component, or program to meet desired needs </w:t>
            </w:r>
            <w:r w:rsidRPr="0030703F">
              <w:rPr>
                <w:rFonts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r w:rsidRPr="0030703F">
              <w:rPr>
                <w:rFonts w:cs="Calibri"/>
                <w:color w:val="000000"/>
                <w:sz w:val="18"/>
                <w:szCs w:val="18"/>
                <w:lang w:val="en"/>
              </w:rPr>
              <w:br/>
              <w:t>(k) An ability to apply design and development principles in the construction of software systems of varying complexity</w:t>
            </w:r>
          </w:p>
        </w:tc>
      </w:tr>
      <w:tr w:rsidR="00293056" w14:paraId="1AE69F68" w14:textId="77777777" w:rsidTr="00C45D3D">
        <w:tc>
          <w:tcPr>
            <w:tcW w:w="2340" w:type="dxa"/>
          </w:tcPr>
          <w:p w14:paraId="660F0DC2" w14:textId="538B42F5" w:rsidR="001A0168" w:rsidRPr="0030703F" w:rsidRDefault="001A0168" w:rsidP="00FC4D01">
            <w:pPr>
              <w:rPr>
                <w:rFonts w:cs="Calibri"/>
                <w:color w:val="000000"/>
                <w:sz w:val="18"/>
                <w:szCs w:val="18"/>
                <w:lang w:val="en"/>
              </w:rPr>
            </w:pPr>
            <w:r>
              <w:rPr>
                <w:rFonts w:cs="Calibri"/>
                <w:color w:val="000000"/>
                <w:sz w:val="18"/>
                <w:szCs w:val="18"/>
                <w:lang w:val="en"/>
              </w:rPr>
              <w:t>P</w:t>
            </w:r>
            <w:r w:rsidR="00293056">
              <w:rPr>
                <w:rFonts w:cs="Calibri"/>
                <w:color w:val="000000"/>
                <w:sz w:val="18"/>
                <w:szCs w:val="18"/>
                <w:lang w:val="en"/>
              </w:rPr>
              <w:t>)4: P</w:t>
            </w:r>
            <w:r>
              <w:rPr>
                <w:rFonts w:cs="Calibri"/>
                <w:color w:val="000000"/>
                <w:sz w:val="18"/>
                <w:szCs w:val="18"/>
                <w:lang w:val="en"/>
              </w:rPr>
              <w:t>rofessional development</w:t>
            </w:r>
          </w:p>
        </w:tc>
        <w:tc>
          <w:tcPr>
            <w:tcW w:w="3060" w:type="dxa"/>
          </w:tcPr>
          <w:p w14:paraId="6A8FB366" w14:textId="7AB1F461" w:rsidR="001A0168" w:rsidRPr="0030703F" w:rsidRDefault="001A0168" w:rsidP="00FC4D01">
            <w:pPr>
              <w:rPr>
                <w:rFonts w:cs="Calibri"/>
                <w:color w:val="000000"/>
                <w:sz w:val="18"/>
                <w:szCs w:val="18"/>
                <w:lang w:val="en"/>
              </w:rPr>
            </w:pPr>
            <w:r w:rsidRPr="0030703F">
              <w:rPr>
                <w:color w:val="000000"/>
                <w:sz w:val="18"/>
                <w:szCs w:val="18"/>
              </w:rPr>
              <w:t>Understand the importance of, and practice, continuing learning to keep abreast of developments in technology, economics, and society.</w:t>
            </w:r>
          </w:p>
        </w:tc>
        <w:tc>
          <w:tcPr>
            <w:tcW w:w="5130" w:type="dxa"/>
          </w:tcPr>
          <w:p w14:paraId="25E24DC9" w14:textId="77777777" w:rsidR="001A0168" w:rsidRDefault="001A0168" w:rsidP="00FC4D01">
            <w:pPr>
              <w:rPr>
                <w:rFonts w:cs="Calibri"/>
                <w:color w:val="000000"/>
                <w:sz w:val="18"/>
                <w:szCs w:val="18"/>
                <w:lang w:val="en"/>
              </w:rPr>
            </w:pPr>
            <w:r w:rsidRPr="0030703F">
              <w:rPr>
                <w:rFonts w:cs="Calibri"/>
                <w:color w:val="000000"/>
                <w:sz w:val="18"/>
                <w:szCs w:val="18"/>
                <w:lang w:val="en"/>
              </w:rPr>
              <w:t>(e) An understanding of professional, ethical, legal, security and social issues and responsibilities</w:t>
            </w:r>
          </w:p>
          <w:p w14:paraId="75CEE9EA" w14:textId="77777777" w:rsidR="001A0168" w:rsidRDefault="001A0168" w:rsidP="00FC4D01">
            <w:pPr>
              <w:rPr>
                <w:rFonts w:cs="Calibri"/>
                <w:color w:val="000000"/>
                <w:sz w:val="18"/>
                <w:szCs w:val="18"/>
                <w:lang w:val="en"/>
              </w:rPr>
            </w:pPr>
            <w:r w:rsidRPr="0030703F">
              <w:rPr>
                <w:rFonts w:cs="Calibri"/>
                <w:color w:val="000000"/>
                <w:sz w:val="18"/>
                <w:szCs w:val="18"/>
                <w:lang w:val="en"/>
              </w:rPr>
              <w:t>h)</w:t>
            </w:r>
            <w:r w:rsidRPr="0030703F">
              <w:rPr>
                <w:color w:val="000000"/>
                <w:sz w:val="18"/>
                <w:szCs w:val="18"/>
                <w:lang w:val="en"/>
              </w:rPr>
              <w:t> </w:t>
            </w:r>
            <w:r w:rsidRPr="0030703F">
              <w:rPr>
                <w:rFonts w:cs="Calibri"/>
                <w:color w:val="000000"/>
                <w:sz w:val="18"/>
                <w:szCs w:val="18"/>
                <w:lang w:val="en"/>
              </w:rPr>
              <w:t>Recognition of the need for and an ability to engage in continuing professional development</w:t>
            </w:r>
          </w:p>
          <w:p w14:paraId="1DF0A44E" w14:textId="77777777" w:rsidR="001A0168" w:rsidRDefault="001A0168" w:rsidP="00FC4D01">
            <w:pPr>
              <w:rPr>
                <w:rFonts w:cs="Calibri"/>
                <w:color w:val="000000"/>
                <w:sz w:val="18"/>
                <w:szCs w:val="18"/>
                <w:lang w:val="en"/>
              </w:rPr>
            </w:pPr>
            <w:r w:rsidRPr="0030703F">
              <w:rPr>
                <w:rFonts w:cs="Calibri"/>
                <w:color w:val="000000"/>
                <w:sz w:val="18"/>
                <w:szCs w:val="18"/>
                <w:lang w:val="en"/>
              </w:rPr>
              <w:t>(g) An ability to analyze the local and global impact of computing on individuals, organizations, and society</w:t>
            </w:r>
          </w:p>
          <w:p w14:paraId="33DC0633" w14:textId="77777777" w:rsidR="001A0168" w:rsidRDefault="001A0168" w:rsidP="00FC4D01">
            <w:pPr>
              <w:rPr>
                <w:b/>
                <w:bCs/>
                <w:color w:val="000000"/>
                <w:sz w:val="18"/>
                <w:szCs w:val="18"/>
              </w:rPr>
            </w:pPr>
          </w:p>
        </w:tc>
      </w:tr>
    </w:tbl>
    <w:p w14:paraId="5603D68E" w14:textId="77777777" w:rsidR="001A0168" w:rsidRDefault="001A0168" w:rsidP="00C07F25">
      <w:pPr>
        <w:pStyle w:val="BodyTextIndent"/>
      </w:pPr>
    </w:p>
    <w:p w14:paraId="5709770A" w14:textId="77777777" w:rsidR="00C07F25" w:rsidRDefault="00C07F25" w:rsidP="00C07F25">
      <w:pPr>
        <w:pStyle w:val="BodyTextIndent"/>
      </w:pPr>
    </w:p>
    <w:p w14:paraId="2128A02A" w14:textId="77777777" w:rsidR="00C07F25" w:rsidRDefault="00C07F25" w:rsidP="00C07F25">
      <w:pPr>
        <w:pStyle w:val="BodyTextIndent"/>
      </w:pPr>
      <w:r>
        <w:t>Table 4 summarizes the courses in which these learning outcomes are introduced, emphasized, and reinforced.</w:t>
      </w:r>
    </w:p>
    <w:p w14:paraId="2E952375" w14:textId="77777777" w:rsidR="00C07F25" w:rsidRDefault="00C07F25" w:rsidP="00C07F25">
      <w:pPr>
        <w:pStyle w:val="BodyTextIndent"/>
      </w:pPr>
    </w:p>
    <w:p w14:paraId="2A7DFBD3" w14:textId="77777777" w:rsidR="00C07F25" w:rsidRDefault="00C07F25" w:rsidP="00C07F25">
      <w:pPr>
        <w:pStyle w:val="BodyTextIndent"/>
        <w:jc w:val="center"/>
      </w:pPr>
      <w:r>
        <w:t xml:space="preserve">Table 4. </w:t>
      </w:r>
    </w:p>
    <w:p w14:paraId="3E328998" w14:textId="7D9EDE3C" w:rsidR="00C07F25" w:rsidRDefault="008100F5" w:rsidP="00C07F25">
      <w:pPr>
        <w:pStyle w:val="BodyTextIndent"/>
        <w:jc w:val="center"/>
      </w:pPr>
      <w:r>
        <w:t xml:space="preserve">Computer Science </w:t>
      </w:r>
      <w:r w:rsidR="00C07F25">
        <w:t>Curriculum Map</w:t>
      </w:r>
    </w:p>
    <w:p w14:paraId="33D5720C" w14:textId="77777777" w:rsidR="00C07F25" w:rsidRDefault="00C07F25" w:rsidP="00C07F25">
      <w:pPr>
        <w:pStyle w:val="BodyTextIndent"/>
      </w:pPr>
    </w:p>
    <w:tbl>
      <w:tblPr>
        <w:tblpPr w:leftFromText="180" w:rightFromText="180" w:vertAnchor="text" w:tblpX="-455" w:tblpY="1"/>
        <w:tblOverlap w:val="never"/>
        <w:tblW w:w="9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3"/>
        <w:gridCol w:w="990"/>
        <w:gridCol w:w="990"/>
        <w:gridCol w:w="1080"/>
        <w:gridCol w:w="990"/>
        <w:gridCol w:w="990"/>
        <w:gridCol w:w="990"/>
        <w:gridCol w:w="990"/>
        <w:gridCol w:w="929"/>
      </w:tblGrid>
      <w:tr w:rsidR="00BE3AA1" w:rsidRPr="0066215F" w14:paraId="00C4022E" w14:textId="77777777" w:rsidTr="00C15F78">
        <w:trPr>
          <w:trHeight w:val="440"/>
        </w:trPr>
        <w:tc>
          <w:tcPr>
            <w:tcW w:w="1643" w:type="dxa"/>
            <w:shd w:val="clear" w:color="auto" w:fill="auto"/>
          </w:tcPr>
          <w:p w14:paraId="1E850A6E" w14:textId="77777777" w:rsidR="00BE3AA1" w:rsidRPr="0066215F" w:rsidRDefault="00BE3AA1" w:rsidP="00BE3AA1">
            <w:pPr>
              <w:pStyle w:val="NoSpacing"/>
              <w:rPr>
                <w:b/>
                <w:sz w:val="20"/>
              </w:rPr>
            </w:pPr>
          </w:p>
        </w:tc>
        <w:tc>
          <w:tcPr>
            <w:tcW w:w="990" w:type="dxa"/>
            <w:shd w:val="clear" w:color="auto" w:fill="auto"/>
          </w:tcPr>
          <w:p w14:paraId="70EDF028" w14:textId="5957D1C2" w:rsidR="00BE3AA1" w:rsidRPr="0066215F" w:rsidRDefault="00BE3AA1" w:rsidP="00BE3AA1">
            <w:pPr>
              <w:pStyle w:val="NoSpacing"/>
              <w:rPr>
                <w:b/>
                <w:sz w:val="20"/>
              </w:rPr>
            </w:pPr>
            <w:r>
              <w:rPr>
                <w:b/>
                <w:sz w:val="20"/>
              </w:rPr>
              <w:t>CSC1700</w:t>
            </w:r>
          </w:p>
        </w:tc>
        <w:tc>
          <w:tcPr>
            <w:tcW w:w="990" w:type="dxa"/>
            <w:shd w:val="clear" w:color="auto" w:fill="auto"/>
          </w:tcPr>
          <w:p w14:paraId="73231255" w14:textId="047ECE7F" w:rsidR="00BE3AA1" w:rsidRPr="0066215F" w:rsidRDefault="00BE3AA1" w:rsidP="00BE3AA1">
            <w:pPr>
              <w:pStyle w:val="NoSpacing"/>
              <w:rPr>
                <w:b/>
                <w:sz w:val="20"/>
              </w:rPr>
            </w:pPr>
            <w:r>
              <w:rPr>
                <w:b/>
                <w:sz w:val="20"/>
              </w:rPr>
              <w:t>CSC2200</w:t>
            </w:r>
          </w:p>
        </w:tc>
        <w:tc>
          <w:tcPr>
            <w:tcW w:w="1080" w:type="dxa"/>
            <w:shd w:val="clear" w:color="auto" w:fill="auto"/>
          </w:tcPr>
          <w:p w14:paraId="238344FC" w14:textId="16CC16A8" w:rsidR="00BE3AA1" w:rsidRPr="0066215F" w:rsidRDefault="00BE3AA1" w:rsidP="00BE3AA1">
            <w:pPr>
              <w:pStyle w:val="NoSpacing"/>
              <w:rPr>
                <w:b/>
                <w:sz w:val="20"/>
              </w:rPr>
            </w:pPr>
            <w:r>
              <w:rPr>
                <w:b/>
                <w:sz w:val="20"/>
              </w:rPr>
              <w:t>CSC23000</w:t>
            </w:r>
          </w:p>
        </w:tc>
        <w:tc>
          <w:tcPr>
            <w:tcW w:w="990" w:type="dxa"/>
            <w:shd w:val="clear" w:color="auto" w:fill="auto"/>
          </w:tcPr>
          <w:p w14:paraId="7DFA45FE" w14:textId="3C91E7C6" w:rsidR="00BE3AA1" w:rsidRPr="0066215F" w:rsidRDefault="00BE3AA1" w:rsidP="00BE3AA1">
            <w:pPr>
              <w:pStyle w:val="NoSpacing"/>
              <w:rPr>
                <w:b/>
                <w:sz w:val="20"/>
              </w:rPr>
            </w:pPr>
            <w:r>
              <w:rPr>
                <w:b/>
                <w:sz w:val="20"/>
              </w:rPr>
              <w:t>CSC2660</w:t>
            </w:r>
          </w:p>
        </w:tc>
        <w:tc>
          <w:tcPr>
            <w:tcW w:w="990" w:type="dxa"/>
            <w:shd w:val="clear" w:color="auto" w:fill="auto"/>
          </w:tcPr>
          <w:p w14:paraId="055C284C" w14:textId="74C0B486" w:rsidR="00BE3AA1" w:rsidRPr="0066215F" w:rsidRDefault="00BE3AA1" w:rsidP="00BE3AA1">
            <w:pPr>
              <w:pStyle w:val="NoSpacing"/>
              <w:rPr>
                <w:b/>
                <w:sz w:val="20"/>
              </w:rPr>
            </w:pPr>
            <w:r>
              <w:rPr>
                <w:b/>
                <w:sz w:val="20"/>
              </w:rPr>
              <w:t>CSC3660</w:t>
            </w:r>
          </w:p>
        </w:tc>
        <w:tc>
          <w:tcPr>
            <w:tcW w:w="990" w:type="dxa"/>
            <w:shd w:val="clear" w:color="auto" w:fill="auto"/>
          </w:tcPr>
          <w:p w14:paraId="3B82AB60" w14:textId="08C3F097" w:rsidR="00BE3AA1" w:rsidRPr="0066215F" w:rsidRDefault="00BE3AA1" w:rsidP="00BE3AA1">
            <w:pPr>
              <w:pStyle w:val="NoSpacing"/>
              <w:rPr>
                <w:b/>
                <w:sz w:val="20"/>
              </w:rPr>
            </w:pPr>
            <w:r>
              <w:rPr>
                <w:b/>
                <w:sz w:val="20"/>
              </w:rPr>
              <w:t>CSC4350</w:t>
            </w:r>
          </w:p>
        </w:tc>
        <w:tc>
          <w:tcPr>
            <w:tcW w:w="990" w:type="dxa"/>
            <w:shd w:val="clear" w:color="auto" w:fill="auto"/>
          </w:tcPr>
          <w:p w14:paraId="1EF54B75" w14:textId="67C3BC8A" w:rsidR="00BE3AA1" w:rsidRPr="0066215F" w:rsidRDefault="00BE3AA1" w:rsidP="00BE3AA1">
            <w:pPr>
              <w:pStyle w:val="NoSpacing"/>
              <w:rPr>
                <w:b/>
                <w:sz w:val="20"/>
              </w:rPr>
            </w:pPr>
            <w:r>
              <w:rPr>
                <w:b/>
                <w:sz w:val="20"/>
              </w:rPr>
              <w:t>CSC4500</w:t>
            </w:r>
          </w:p>
        </w:tc>
        <w:tc>
          <w:tcPr>
            <w:tcW w:w="929" w:type="dxa"/>
            <w:shd w:val="clear" w:color="auto" w:fill="auto"/>
          </w:tcPr>
          <w:p w14:paraId="5008E848" w14:textId="1819E69E" w:rsidR="00BE3AA1" w:rsidRPr="0066215F" w:rsidRDefault="00BE3AA1" w:rsidP="00BE3AA1">
            <w:pPr>
              <w:pStyle w:val="NoSpacing"/>
              <w:rPr>
                <w:b/>
                <w:sz w:val="20"/>
              </w:rPr>
            </w:pPr>
            <w:r>
              <w:rPr>
                <w:b/>
                <w:sz w:val="20"/>
              </w:rPr>
              <w:t>CSC4990</w:t>
            </w:r>
          </w:p>
        </w:tc>
      </w:tr>
      <w:tr w:rsidR="00BE3AA1" w:rsidRPr="0066215F" w14:paraId="394D14C8" w14:textId="77777777" w:rsidTr="00BE3AA1">
        <w:tc>
          <w:tcPr>
            <w:tcW w:w="1643" w:type="dxa"/>
            <w:shd w:val="clear" w:color="auto" w:fill="auto"/>
          </w:tcPr>
          <w:p w14:paraId="7A944106" w14:textId="5562F766" w:rsidR="00BE3AA1" w:rsidRPr="0066215F" w:rsidRDefault="00BE3AA1" w:rsidP="00BE3AA1">
            <w:pPr>
              <w:pStyle w:val="NoSpacing"/>
              <w:rPr>
                <w:b/>
                <w:sz w:val="20"/>
              </w:rPr>
            </w:pPr>
            <w:r>
              <w:rPr>
                <w:rFonts w:cs="Calibri"/>
                <w:color w:val="000000"/>
                <w:sz w:val="18"/>
                <w:szCs w:val="18"/>
                <w:lang w:val="en"/>
              </w:rPr>
              <w:t xml:space="preserve">PO 1: </w:t>
            </w:r>
            <w:r w:rsidRPr="00AE0F5D">
              <w:rPr>
                <w:rFonts w:eastAsia="Times New Roman" w:cs="Calibri"/>
                <w:color w:val="000000"/>
                <w:sz w:val="18"/>
                <w:szCs w:val="18"/>
                <w:lang w:val="en"/>
              </w:rPr>
              <w:t>Computing/Mathematic Knowledge</w:t>
            </w:r>
          </w:p>
        </w:tc>
        <w:tc>
          <w:tcPr>
            <w:tcW w:w="990" w:type="dxa"/>
            <w:shd w:val="clear" w:color="auto" w:fill="auto"/>
          </w:tcPr>
          <w:p w14:paraId="248F8ABA" w14:textId="0483B7D2" w:rsidR="00BE3AA1" w:rsidRPr="0066215F" w:rsidRDefault="00BE3AA1" w:rsidP="00BE3AA1">
            <w:pPr>
              <w:pStyle w:val="NoSpacing"/>
              <w:jc w:val="center"/>
              <w:rPr>
                <w:b/>
                <w:sz w:val="20"/>
              </w:rPr>
            </w:pPr>
          </w:p>
        </w:tc>
        <w:tc>
          <w:tcPr>
            <w:tcW w:w="990" w:type="dxa"/>
            <w:shd w:val="clear" w:color="auto" w:fill="auto"/>
          </w:tcPr>
          <w:p w14:paraId="31C9D737" w14:textId="77777777" w:rsidR="00BE3AA1" w:rsidRPr="0066215F" w:rsidRDefault="00BE3AA1" w:rsidP="00BE3AA1">
            <w:pPr>
              <w:pStyle w:val="NoSpacing"/>
              <w:jc w:val="center"/>
              <w:rPr>
                <w:b/>
                <w:sz w:val="20"/>
              </w:rPr>
            </w:pPr>
          </w:p>
        </w:tc>
        <w:tc>
          <w:tcPr>
            <w:tcW w:w="1080" w:type="dxa"/>
            <w:shd w:val="clear" w:color="auto" w:fill="auto"/>
          </w:tcPr>
          <w:p w14:paraId="2752240F" w14:textId="77777777" w:rsidR="00BE3AA1" w:rsidRPr="0066215F" w:rsidRDefault="00BE3AA1" w:rsidP="00BE3AA1">
            <w:pPr>
              <w:pStyle w:val="NoSpacing"/>
              <w:jc w:val="center"/>
              <w:rPr>
                <w:b/>
                <w:sz w:val="20"/>
              </w:rPr>
            </w:pPr>
          </w:p>
        </w:tc>
        <w:tc>
          <w:tcPr>
            <w:tcW w:w="990" w:type="dxa"/>
            <w:shd w:val="clear" w:color="auto" w:fill="auto"/>
          </w:tcPr>
          <w:p w14:paraId="153E2D71" w14:textId="77777777" w:rsidR="00BE3AA1" w:rsidRPr="0066215F" w:rsidRDefault="00BE3AA1" w:rsidP="00BE3AA1">
            <w:pPr>
              <w:pStyle w:val="NoSpacing"/>
              <w:jc w:val="center"/>
              <w:rPr>
                <w:b/>
                <w:sz w:val="20"/>
              </w:rPr>
            </w:pPr>
          </w:p>
        </w:tc>
        <w:tc>
          <w:tcPr>
            <w:tcW w:w="990" w:type="dxa"/>
            <w:shd w:val="clear" w:color="auto" w:fill="auto"/>
          </w:tcPr>
          <w:p w14:paraId="0D62014D" w14:textId="77777777" w:rsidR="00BE3AA1" w:rsidRPr="0066215F" w:rsidRDefault="00BE3AA1" w:rsidP="00BE3AA1">
            <w:pPr>
              <w:pStyle w:val="NoSpacing"/>
              <w:jc w:val="center"/>
              <w:rPr>
                <w:b/>
                <w:sz w:val="20"/>
              </w:rPr>
            </w:pPr>
          </w:p>
        </w:tc>
        <w:tc>
          <w:tcPr>
            <w:tcW w:w="990" w:type="dxa"/>
            <w:shd w:val="clear" w:color="auto" w:fill="auto"/>
          </w:tcPr>
          <w:p w14:paraId="03D891C3" w14:textId="77777777" w:rsidR="00BE3AA1" w:rsidRPr="0066215F" w:rsidRDefault="00BE3AA1" w:rsidP="00BE3AA1">
            <w:pPr>
              <w:pStyle w:val="NoSpacing"/>
              <w:jc w:val="center"/>
              <w:rPr>
                <w:b/>
                <w:sz w:val="20"/>
              </w:rPr>
            </w:pPr>
          </w:p>
        </w:tc>
        <w:tc>
          <w:tcPr>
            <w:tcW w:w="990" w:type="dxa"/>
            <w:shd w:val="clear" w:color="auto" w:fill="auto"/>
          </w:tcPr>
          <w:p w14:paraId="265C8E74" w14:textId="4C2FB274" w:rsidR="00BE3AA1" w:rsidRPr="0066215F" w:rsidRDefault="00BE3AA1" w:rsidP="00BE3AA1">
            <w:pPr>
              <w:pStyle w:val="NoSpacing"/>
              <w:jc w:val="center"/>
              <w:rPr>
                <w:b/>
                <w:sz w:val="20"/>
              </w:rPr>
            </w:pPr>
            <w:r>
              <w:rPr>
                <w:b/>
                <w:sz w:val="20"/>
              </w:rPr>
              <w:t>I</w:t>
            </w:r>
          </w:p>
        </w:tc>
        <w:tc>
          <w:tcPr>
            <w:tcW w:w="929" w:type="dxa"/>
            <w:shd w:val="clear" w:color="auto" w:fill="auto"/>
          </w:tcPr>
          <w:p w14:paraId="5446C053" w14:textId="2716E819" w:rsidR="00BE3AA1" w:rsidRPr="0066215F" w:rsidRDefault="00BE3AA1" w:rsidP="00BE3AA1">
            <w:pPr>
              <w:pStyle w:val="NoSpacing"/>
              <w:jc w:val="center"/>
              <w:rPr>
                <w:b/>
                <w:sz w:val="20"/>
              </w:rPr>
            </w:pPr>
            <w:r>
              <w:rPr>
                <w:b/>
                <w:sz w:val="20"/>
              </w:rPr>
              <w:t>I</w:t>
            </w:r>
          </w:p>
        </w:tc>
      </w:tr>
      <w:tr w:rsidR="00BE3AA1" w:rsidRPr="0066215F" w14:paraId="1899D445" w14:textId="77777777" w:rsidTr="00BE3AA1">
        <w:tc>
          <w:tcPr>
            <w:tcW w:w="1643" w:type="dxa"/>
            <w:shd w:val="clear" w:color="auto" w:fill="auto"/>
          </w:tcPr>
          <w:p w14:paraId="5D231452" w14:textId="0748976F" w:rsidR="00BE3AA1" w:rsidRPr="0066215F" w:rsidRDefault="00BE3AA1" w:rsidP="00BE3AA1">
            <w:pPr>
              <w:pStyle w:val="NoSpacing"/>
              <w:rPr>
                <w:b/>
                <w:sz w:val="20"/>
              </w:rPr>
            </w:pPr>
            <w:r>
              <w:rPr>
                <w:rFonts w:cs="Calibri"/>
                <w:color w:val="000000"/>
                <w:sz w:val="18"/>
                <w:szCs w:val="18"/>
                <w:lang w:val="en"/>
              </w:rPr>
              <w:t xml:space="preserve">PO 2: </w:t>
            </w:r>
            <w:r w:rsidRPr="00AE0F5D">
              <w:rPr>
                <w:rFonts w:eastAsia="Times New Roman" w:cs="Calibri"/>
                <w:color w:val="000000"/>
                <w:sz w:val="18"/>
                <w:szCs w:val="18"/>
                <w:lang w:val="en"/>
              </w:rPr>
              <w:t>Team-work and communication</w:t>
            </w:r>
          </w:p>
        </w:tc>
        <w:tc>
          <w:tcPr>
            <w:tcW w:w="990" w:type="dxa"/>
            <w:shd w:val="clear" w:color="auto" w:fill="auto"/>
          </w:tcPr>
          <w:p w14:paraId="25CF7B90" w14:textId="77777777" w:rsidR="00BE3AA1" w:rsidRPr="0066215F" w:rsidRDefault="00BE3AA1" w:rsidP="00BE3AA1">
            <w:pPr>
              <w:pStyle w:val="NoSpacing"/>
              <w:jc w:val="center"/>
              <w:rPr>
                <w:b/>
                <w:sz w:val="20"/>
              </w:rPr>
            </w:pPr>
          </w:p>
        </w:tc>
        <w:tc>
          <w:tcPr>
            <w:tcW w:w="990" w:type="dxa"/>
            <w:shd w:val="clear" w:color="auto" w:fill="auto"/>
          </w:tcPr>
          <w:p w14:paraId="23C3FAC3" w14:textId="77777777" w:rsidR="00BE3AA1" w:rsidRPr="0066215F" w:rsidRDefault="00BE3AA1" w:rsidP="00BE3AA1">
            <w:pPr>
              <w:pStyle w:val="NoSpacing"/>
              <w:jc w:val="center"/>
              <w:rPr>
                <w:b/>
                <w:sz w:val="20"/>
              </w:rPr>
            </w:pPr>
          </w:p>
        </w:tc>
        <w:tc>
          <w:tcPr>
            <w:tcW w:w="1080" w:type="dxa"/>
            <w:shd w:val="clear" w:color="auto" w:fill="auto"/>
          </w:tcPr>
          <w:p w14:paraId="3077CE34" w14:textId="77777777" w:rsidR="00BE3AA1" w:rsidRPr="0066215F" w:rsidRDefault="00BE3AA1" w:rsidP="00BE3AA1">
            <w:pPr>
              <w:pStyle w:val="NoSpacing"/>
              <w:jc w:val="center"/>
              <w:rPr>
                <w:b/>
                <w:sz w:val="20"/>
              </w:rPr>
            </w:pPr>
          </w:p>
        </w:tc>
        <w:tc>
          <w:tcPr>
            <w:tcW w:w="990" w:type="dxa"/>
            <w:shd w:val="clear" w:color="auto" w:fill="auto"/>
          </w:tcPr>
          <w:p w14:paraId="7F2E5FAD" w14:textId="77777777" w:rsidR="00BE3AA1" w:rsidRPr="0066215F" w:rsidRDefault="00BE3AA1" w:rsidP="00BE3AA1">
            <w:pPr>
              <w:pStyle w:val="NoSpacing"/>
              <w:jc w:val="center"/>
              <w:rPr>
                <w:b/>
                <w:sz w:val="20"/>
              </w:rPr>
            </w:pPr>
          </w:p>
        </w:tc>
        <w:tc>
          <w:tcPr>
            <w:tcW w:w="990" w:type="dxa"/>
            <w:shd w:val="clear" w:color="auto" w:fill="auto"/>
          </w:tcPr>
          <w:p w14:paraId="3119784B" w14:textId="5FFA0657" w:rsidR="00BE3AA1" w:rsidRPr="0066215F" w:rsidRDefault="00BE3AA1" w:rsidP="00BE3AA1">
            <w:pPr>
              <w:pStyle w:val="NoSpacing"/>
              <w:jc w:val="center"/>
              <w:rPr>
                <w:b/>
                <w:sz w:val="20"/>
              </w:rPr>
            </w:pPr>
          </w:p>
        </w:tc>
        <w:tc>
          <w:tcPr>
            <w:tcW w:w="990" w:type="dxa"/>
            <w:shd w:val="clear" w:color="auto" w:fill="auto"/>
          </w:tcPr>
          <w:p w14:paraId="3928A63F" w14:textId="37D6E1FF" w:rsidR="00BE3AA1" w:rsidRPr="0066215F" w:rsidRDefault="0011088F" w:rsidP="00BE3AA1">
            <w:pPr>
              <w:pStyle w:val="NoSpacing"/>
              <w:jc w:val="center"/>
              <w:rPr>
                <w:b/>
                <w:sz w:val="20"/>
              </w:rPr>
            </w:pPr>
            <w:r>
              <w:rPr>
                <w:b/>
                <w:sz w:val="20"/>
              </w:rPr>
              <w:t>I</w:t>
            </w:r>
          </w:p>
        </w:tc>
        <w:tc>
          <w:tcPr>
            <w:tcW w:w="990" w:type="dxa"/>
            <w:shd w:val="clear" w:color="auto" w:fill="auto"/>
          </w:tcPr>
          <w:p w14:paraId="677E7FEC" w14:textId="28754BFD" w:rsidR="00BE3AA1" w:rsidRPr="0066215F" w:rsidRDefault="00BE3AA1" w:rsidP="00BE3AA1">
            <w:pPr>
              <w:pStyle w:val="NoSpacing"/>
              <w:jc w:val="center"/>
              <w:rPr>
                <w:b/>
                <w:sz w:val="20"/>
              </w:rPr>
            </w:pPr>
          </w:p>
        </w:tc>
        <w:tc>
          <w:tcPr>
            <w:tcW w:w="929" w:type="dxa"/>
            <w:shd w:val="clear" w:color="auto" w:fill="auto"/>
          </w:tcPr>
          <w:p w14:paraId="0EB6DF1B" w14:textId="36F0E7B3" w:rsidR="00BE3AA1" w:rsidRPr="0066215F" w:rsidRDefault="0011088F" w:rsidP="00BE3AA1">
            <w:pPr>
              <w:pStyle w:val="NoSpacing"/>
              <w:jc w:val="center"/>
              <w:rPr>
                <w:b/>
                <w:sz w:val="20"/>
              </w:rPr>
            </w:pPr>
            <w:r>
              <w:rPr>
                <w:b/>
                <w:sz w:val="20"/>
              </w:rPr>
              <w:t>I</w:t>
            </w:r>
          </w:p>
        </w:tc>
      </w:tr>
      <w:tr w:rsidR="00BE3AA1" w:rsidRPr="0066215F" w14:paraId="191529CE" w14:textId="77777777" w:rsidTr="00BE3AA1">
        <w:tc>
          <w:tcPr>
            <w:tcW w:w="1643" w:type="dxa"/>
            <w:shd w:val="clear" w:color="auto" w:fill="auto"/>
          </w:tcPr>
          <w:p w14:paraId="60711D27" w14:textId="4801F91C" w:rsidR="00BE3AA1" w:rsidRPr="0066215F" w:rsidRDefault="00BE3AA1" w:rsidP="00BE3AA1">
            <w:pPr>
              <w:pStyle w:val="NoSpacing"/>
              <w:rPr>
                <w:b/>
                <w:sz w:val="20"/>
              </w:rPr>
            </w:pPr>
            <w:r>
              <w:rPr>
                <w:rFonts w:cs="Calibri"/>
                <w:color w:val="000000"/>
                <w:sz w:val="18"/>
                <w:szCs w:val="18"/>
                <w:lang w:val="en"/>
              </w:rPr>
              <w:t xml:space="preserve">PO 3: </w:t>
            </w:r>
            <w:r w:rsidRPr="00AE0F5D">
              <w:rPr>
                <w:rFonts w:eastAsia="Times New Roman" w:cs="Calibri"/>
                <w:color w:val="000000"/>
                <w:sz w:val="18"/>
                <w:szCs w:val="18"/>
                <w:lang w:val="en"/>
              </w:rPr>
              <w:t>Define, Design, Develop</w:t>
            </w:r>
          </w:p>
        </w:tc>
        <w:tc>
          <w:tcPr>
            <w:tcW w:w="990" w:type="dxa"/>
            <w:shd w:val="clear" w:color="auto" w:fill="auto"/>
          </w:tcPr>
          <w:p w14:paraId="6E7842F2" w14:textId="77777777" w:rsidR="00BE3AA1" w:rsidRPr="0066215F" w:rsidRDefault="00BE3AA1" w:rsidP="00BE3AA1">
            <w:pPr>
              <w:pStyle w:val="NoSpacing"/>
              <w:jc w:val="center"/>
              <w:rPr>
                <w:b/>
                <w:sz w:val="20"/>
              </w:rPr>
            </w:pPr>
          </w:p>
        </w:tc>
        <w:tc>
          <w:tcPr>
            <w:tcW w:w="990" w:type="dxa"/>
            <w:shd w:val="clear" w:color="auto" w:fill="auto"/>
          </w:tcPr>
          <w:p w14:paraId="16AD3FB1" w14:textId="11A812E9" w:rsidR="00BE3AA1" w:rsidRPr="0066215F" w:rsidRDefault="00BE3AA1" w:rsidP="00BE3AA1">
            <w:pPr>
              <w:pStyle w:val="NoSpacing"/>
              <w:jc w:val="center"/>
              <w:rPr>
                <w:b/>
                <w:sz w:val="20"/>
              </w:rPr>
            </w:pPr>
          </w:p>
        </w:tc>
        <w:tc>
          <w:tcPr>
            <w:tcW w:w="1080" w:type="dxa"/>
            <w:shd w:val="clear" w:color="auto" w:fill="auto"/>
          </w:tcPr>
          <w:p w14:paraId="0F7133DC" w14:textId="77777777" w:rsidR="00BE3AA1" w:rsidRPr="0066215F" w:rsidRDefault="00BE3AA1" w:rsidP="00BE3AA1">
            <w:pPr>
              <w:pStyle w:val="NoSpacing"/>
              <w:jc w:val="center"/>
              <w:rPr>
                <w:b/>
                <w:sz w:val="20"/>
              </w:rPr>
            </w:pPr>
          </w:p>
        </w:tc>
        <w:tc>
          <w:tcPr>
            <w:tcW w:w="990" w:type="dxa"/>
            <w:shd w:val="clear" w:color="auto" w:fill="auto"/>
          </w:tcPr>
          <w:p w14:paraId="04DF2823" w14:textId="54AE21E1" w:rsidR="00BE3AA1" w:rsidRPr="0066215F" w:rsidRDefault="00BE3AA1" w:rsidP="00BE3AA1">
            <w:pPr>
              <w:pStyle w:val="NoSpacing"/>
              <w:jc w:val="center"/>
              <w:rPr>
                <w:b/>
                <w:sz w:val="20"/>
              </w:rPr>
            </w:pPr>
          </w:p>
        </w:tc>
        <w:tc>
          <w:tcPr>
            <w:tcW w:w="990" w:type="dxa"/>
            <w:shd w:val="clear" w:color="auto" w:fill="auto"/>
          </w:tcPr>
          <w:p w14:paraId="00137673" w14:textId="52F5A01C" w:rsidR="00BE3AA1" w:rsidRPr="0066215F" w:rsidRDefault="0011088F" w:rsidP="00BE3AA1">
            <w:pPr>
              <w:pStyle w:val="NoSpacing"/>
              <w:jc w:val="center"/>
              <w:rPr>
                <w:b/>
                <w:sz w:val="20"/>
              </w:rPr>
            </w:pPr>
            <w:r>
              <w:rPr>
                <w:b/>
                <w:sz w:val="20"/>
              </w:rPr>
              <w:t>I</w:t>
            </w:r>
          </w:p>
        </w:tc>
        <w:tc>
          <w:tcPr>
            <w:tcW w:w="990" w:type="dxa"/>
            <w:shd w:val="clear" w:color="auto" w:fill="auto"/>
          </w:tcPr>
          <w:p w14:paraId="05B3C1F1" w14:textId="0554DCB1" w:rsidR="00BE3AA1" w:rsidRPr="0066215F" w:rsidRDefault="00A005E5" w:rsidP="00BE3AA1">
            <w:pPr>
              <w:pStyle w:val="NoSpacing"/>
              <w:jc w:val="center"/>
              <w:rPr>
                <w:b/>
                <w:sz w:val="20"/>
              </w:rPr>
            </w:pPr>
            <w:r>
              <w:rPr>
                <w:b/>
                <w:sz w:val="20"/>
              </w:rPr>
              <w:t>I</w:t>
            </w:r>
          </w:p>
        </w:tc>
        <w:tc>
          <w:tcPr>
            <w:tcW w:w="990" w:type="dxa"/>
            <w:shd w:val="clear" w:color="auto" w:fill="auto"/>
          </w:tcPr>
          <w:p w14:paraId="5C23FBD0" w14:textId="77777777" w:rsidR="00BE3AA1" w:rsidRPr="0066215F" w:rsidRDefault="00BE3AA1" w:rsidP="00BE3AA1">
            <w:pPr>
              <w:pStyle w:val="NoSpacing"/>
              <w:jc w:val="center"/>
              <w:rPr>
                <w:b/>
                <w:sz w:val="20"/>
              </w:rPr>
            </w:pPr>
          </w:p>
        </w:tc>
        <w:tc>
          <w:tcPr>
            <w:tcW w:w="929" w:type="dxa"/>
            <w:shd w:val="clear" w:color="auto" w:fill="auto"/>
          </w:tcPr>
          <w:p w14:paraId="33A697AA" w14:textId="2B71E77B" w:rsidR="00BE3AA1" w:rsidRPr="0066215F" w:rsidRDefault="00BE3AA1" w:rsidP="00BE3AA1">
            <w:pPr>
              <w:pStyle w:val="NoSpacing"/>
              <w:jc w:val="center"/>
              <w:rPr>
                <w:b/>
                <w:sz w:val="20"/>
              </w:rPr>
            </w:pPr>
          </w:p>
        </w:tc>
      </w:tr>
      <w:tr w:rsidR="00BE3AA1" w:rsidRPr="0066215F" w14:paraId="0326F5DE" w14:textId="77777777" w:rsidTr="00BE3AA1">
        <w:tc>
          <w:tcPr>
            <w:tcW w:w="1643" w:type="dxa"/>
            <w:shd w:val="clear" w:color="auto" w:fill="auto"/>
          </w:tcPr>
          <w:p w14:paraId="5BF17D88" w14:textId="3E25D93A" w:rsidR="00BE3AA1" w:rsidRPr="0066215F" w:rsidRDefault="00BE3AA1" w:rsidP="00BE3AA1">
            <w:pPr>
              <w:pStyle w:val="NoSpacing"/>
              <w:rPr>
                <w:b/>
                <w:sz w:val="20"/>
              </w:rPr>
            </w:pPr>
            <w:r>
              <w:rPr>
                <w:rFonts w:cs="Calibri"/>
                <w:color w:val="000000"/>
                <w:sz w:val="18"/>
                <w:szCs w:val="18"/>
                <w:lang w:val="en"/>
              </w:rPr>
              <w:lastRenderedPageBreak/>
              <w:t xml:space="preserve">PO 4: </w:t>
            </w:r>
            <w:r w:rsidRPr="00AE0F5D">
              <w:rPr>
                <w:rFonts w:eastAsia="Times New Roman" w:cs="Calibri"/>
                <w:color w:val="000000"/>
                <w:sz w:val="18"/>
                <w:szCs w:val="18"/>
                <w:lang w:val="en"/>
              </w:rPr>
              <w:t>Professional development</w:t>
            </w:r>
          </w:p>
        </w:tc>
        <w:tc>
          <w:tcPr>
            <w:tcW w:w="990" w:type="dxa"/>
            <w:shd w:val="clear" w:color="auto" w:fill="auto"/>
          </w:tcPr>
          <w:p w14:paraId="5A699F00" w14:textId="6ED54AA0" w:rsidR="00BE3AA1" w:rsidRPr="0066215F" w:rsidRDefault="00BE3AA1" w:rsidP="00BE3AA1">
            <w:pPr>
              <w:pStyle w:val="NoSpacing"/>
              <w:jc w:val="center"/>
              <w:rPr>
                <w:b/>
                <w:sz w:val="20"/>
              </w:rPr>
            </w:pPr>
          </w:p>
        </w:tc>
        <w:tc>
          <w:tcPr>
            <w:tcW w:w="990" w:type="dxa"/>
            <w:shd w:val="clear" w:color="auto" w:fill="auto"/>
          </w:tcPr>
          <w:p w14:paraId="21059F9D" w14:textId="77777777" w:rsidR="00BE3AA1" w:rsidRPr="0066215F" w:rsidRDefault="00BE3AA1" w:rsidP="00BE3AA1">
            <w:pPr>
              <w:pStyle w:val="NoSpacing"/>
              <w:jc w:val="center"/>
              <w:rPr>
                <w:b/>
                <w:sz w:val="20"/>
              </w:rPr>
            </w:pPr>
          </w:p>
        </w:tc>
        <w:tc>
          <w:tcPr>
            <w:tcW w:w="1080" w:type="dxa"/>
            <w:shd w:val="clear" w:color="auto" w:fill="auto"/>
          </w:tcPr>
          <w:p w14:paraId="6FC910FD" w14:textId="77777777" w:rsidR="00BE3AA1" w:rsidRPr="0066215F" w:rsidRDefault="00BE3AA1" w:rsidP="00BE3AA1">
            <w:pPr>
              <w:pStyle w:val="NoSpacing"/>
              <w:jc w:val="center"/>
              <w:rPr>
                <w:b/>
                <w:sz w:val="20"/>
              </w:rPr>
            </w:pPr>
          </w:p>
        </w:tc>
        <w:tc>
          <w:tcPr>
            <w:tcW w:w="990" w:type="dxa"/>
            <w:shd w:val="clear" w:color="auto" w:fill="auto"/>
          </w:tcPr>
          <w:p w14:paraId="0F9DBAA4" w14:textId="77777777" w:rsidR="00BE3AA1" w:rsidRPr="0066215F" w:rsidRDefault="00BE3AA1" w:rsidP="00BE3AA1">
            <w:pPr>
              <w:pStyle w:val="NoSpacing"/>
              <w:jc w:val="center"/>
              <w:rPr>
                <w:b/>
                <w:sz w:val="20"/>
              </w:rPr>
            </w:pPr>
          </w:p>
        </w:tc>
        <w:tc>
          <w:tcPr>
            <w:tcW w:w="990" w:type="dxa"/>
            <w:shd w:val="clear" w:color="auto" w:fill="auto"/>
          </w:tcPr>
          <w:p w14:paraId="310DDB74" w14:textId="77777777" w:rsidR="00BE3AA1" w:rsidRPr="0066215F" w:rsidRDefault="00BE3AA1" w:rsidP="00BE3AA1">
            <w:pPr>
              <w:pStyle w:val="NoSpacing"/>
              <w:jc w:val="center"/>
              <w:rPr>
                <w:b/>
                <w:sz w:val="20"/>
              </w:rPr>
            </w:pPr>
          </w:p>
        </w:tc>
        <w:tc>
          <w:tcPr>
            <w:tcW w:w="990" w:type="dxa"/>
            <w:shd w:val="clear" w:color="auto" w:fill="auto"/>
          </w:tcPr>
          <w:p w14:paraId="7BA8BB9E" w14:textId="15D21D83" w:rsidR="00BE3AA1" w:rsidRPr="0066215F" w:rsidRDefault="0011088F" w:rsidP="00BE3AA1">
            <w:pPr>
              <w:pStyle w:val="NoSpacing"/>
              <w:jc w:val="center"/>
              <w:rPr>
                <w:b/>
                <w:sz w:val="20"/>
              </w:rPr>
            </w:pPr>
            <w:r>
              <w:rPr>
                <w:b/>
                <w:sz w:val="20"/>
              </w:rPr>
              <w:t>I</w:t>
            </w:r>
          </w:p>
        </w:tc>
        <w:tc>
          <w:tcPr>
            <w:tcW w:w="990" w:type="dxa"/>
            <w:shd w:val="clear" w:color="auto" w:fill="auto"/>
          </w:tcPr>
          <w:p w14:paraId="13328B5F" w14:textId="77777777" w:rsidR="00BE3AA1" w:rsidRPr="0066215F" w:rsidRDefault="00BE3AA1" w:rsidP="00BE3AA1">
            <w:pPr>
              <w:pStyle w:val="NoSpacing"/>
              <w:jc w:val="center"/>
              <w:rPr>
                <w:b/>
                <w:sz w:val="20"/>
              </w:rPr>
            </w:pPr>
          </w:p>
        </w:tc>
        <w:tc>
          <w:tcPr>
            <w:tcW w:w="929" w:type="dxa"/>
            <w:shd w:val="clear" w:color="auto" w:fill="auto"/>
          </w:tcPr>
          <w:p w14:paraId="0BD4F0CF" w14:textId="2CDD1379" w:rsidR="00BE3AA1" w:rsidRPr="0066215F" w:rsidRDefault="0011088F" w:rsidP="00BE3AA1">
            <w:pPr>
              <w:pStyle w:val="NoSpacing"/>
              <w:jc w:val="center"/>
              <w:rPr>
                <w:b/>
                <w:sz w:val="20"/>
              </w:rPr>
            </w:pPr>
            <w:r>
              <w:rPr>
                <w:b/>
                <w:sz w:val="20"/>
              </w:rPr>
              <w:t>I</w:t>
            </w:r>
          </w:p>
        </w:tc>
      </w:tr>
    </w:tbl>
    <w:p w14:paraId="15A018C0" w14:textId="77777777" w:rsidR="00C07F25" w:rsidRDefault="00C07F25" w:rsidP="003B08A2">
      <w:pPr>
        <w:pStyle w:val="BodyTextIndent"/>
      </w:pPr>
    </w:p>
    <w:p w14:paraId="09B853CF" w14:textId="2F0AD720" w:rsidR="00BE6920" w:rsidRDefault="008300E9" w:rsidP="00BE6920">
      <w:pPr>
        <w:pStyle w:val="BodyTextIndent"/>
      </w:pPr>
      <w:r>
        <w:t xml:space="preserve">The CSC Learning outcomes in </w:t>
      </w:r>
      <w:r w:rsidR="00BE6920">
        <w:t>courses closely align with two of the three university learning outcomes. Major writing initiatives are required in CSC2300 and CSC4350. In addition, team-work and oral communication are required for project based classes such as CSC4500 (Databases), CSC4530 (Software Engineering) and CS4990 (Capstone).</w:t>
      </w:r>
    </w:p>
    <w:p w14:paraId="3E90D83A" w14:textId="55C3F8CB" w:rsidR="00BE6920" w:rsidRDefault="00BE6920" w:rsidP="00BE6920">
      <w:pPr>
        <w:pStyle w:val="BodyTextIndent"/>
      </w:pPr>
    </w:p>
    <w:p w14:paraId="2D9AECB7" w14:textId="56B6B7B1" w:rsidR="00F066FA" w:rsidRDefault="00BE6920" w:rsidP="00BE6920">
      <w:pPr>
        <w:pStyle w:val="BodyTextIndent"/>
      </w:pPr>
      <w:r>
        <w:t xml:space="preserve">As you might expect, much of the program’s curriculum is oriented towards the development of student’s analytical problem solving ability. During much of the curriculum, they continually analyze solve programming problems of varying difficulties using different technologies. In that </w:t>
      </w:r>
      <w:r w:rsidR="00F066FA">
        <w:t>regard</w:t>
      </w:r>
      <w:r>
        <w:t xml:space="preserve">, PO1 and PO3 are vital </w:t>
      </w:r>
      <w:r w:rsidR="00F066FA">
        <w:t xml:space="preserve">for meeting these POs. Table XX shows the data for PO1. </w:t>
      </w:r>
    </w:p>
    <w:p w14:paraId="2B77EDB7" w14:textId="77777777" w:rsidR="00F066FA" w:rsidRPr="008B0C16" w:rsidRDefault="00F066FA" w:rsidP="00F066FA">
      <w:pPr>
        <w:rPr>
          <w:rFonts w:ascii="Calibri" w:eastAsia="Calibri" w:hAnsi="Calibri"/>
          <w:b/>
          <w:sz w:val="20"/>
          <w:szCs w:val="20"/>
        </w:rPr>
      </w:pPr>
      <w:r w:rsidRPr="008B0C16">
        <w:rPr>
          <w:rFonts w:ascii="Calibri" w:eastAsia="Calibri" w:hAnsi="Calibri"/>
          <w:b/>
        </w:rPr>
        <w:t xml:space="preserve">ASSESSMENT </w:t>
      </w:r>
      <w:r>
        <w:rPr>
          <w:rFonts w:ascii="Calibri" w:eastAsia="Calibri" w:hAnsi="Calibri"/>
          <w:b/>
        </w:rPr>
        <w:t>DATA</w:t>
      </w:r>
      <w:r w:rsidRPr="008B0C16">
        <w:rPr>
          <w:rFonts w:ascii="Calibri" w:eastAsia="Calibri" w:hAnsi="Calibri"/>
          <w:b/>
        </w:rPr>
        <w:t xml:space="preserve"> FOR OUTCOME 1</w:t>
      </w:r>
      <w:r w:rsidRPr="008B0C16">
        <w:rPr>
          <w:rFonts w:ascii="Calibri" w:eastAsia="Calibri" w:hAnsi="Calibri"/>
          <w:b/>
          <w:sz w:val="20"/>
          <w:szCs w:val="20"/>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1341"/>
        <w:gridCol w:w="1010"/>
        <w:gridCol w:w="1840"/>
        <w:gridCol w:w="1896"/>
        <w:gridCol w:w="1060"/>
        <w:gridCol w:w="1113"/>
      </w:tblGrid>
      <w:tr w:rsidR="00F066FA" w:rsidRPr="008B0C16" w14:paraId="78AC37EF" w14:textId="77777777" w:rsidTr="00F066FA">
        <w:tc>
          <w:tcPr>
            <w:tcW w:w="583" w:type="pct"/>
          </w:tcPr>
          <w:p w14:paraId="32E75907" w14:textId="77777777" w:rsidR="00F066FA" w:rsidRPr="008B0C16" w:rsidRDefault="00F066FA" w:rsidP="00F066FA">
            <w:pPr>
              <w:jc w:val="center"/>
              <w:rPr>
                <w:rFonts w:ascii="Calibri" w:eastAsia="Calibri" w:hAnsi="Calibri"/>
                <w:b/>
                <w:sz w:val="20"/>
                <w:szCs w:val="20"/>
              </w:rPr>
            </w:pPr>
            <w:r>
              <w:rPr>
                <w:rFonts w:ascii="Calibri" w:eastAsia="Calibri" w:hAnsi="Calibri"/>
                <w:b/>
                <w:sz w:val="20"/>
                <w:szCs w:val="20"/>
              </w:rPr>
              <w:t>What data sources were used</w:t>
            </w:r>
          </w:p>
        </w:tc>
        <w:tc>
          <w:tcPr>
            <w:tcW w:w="717" w:type="pct"/>
          </w:tcPr>
          <w:p w14:paraId="704F2952" w14:textId="77777777" w:rsidR="00F066FA" w:rsidRPr="008B0C16" w:rsidRDefault="00F066FA" w:rsidP="00F066FA">
            <w:pPr>
              <w:jc w:val="center"/>
              <w:rPr>
                <w:rFonts w:ascii="Calibri" w:eastAsia="Calibri" w:hAnsi="Calibri"/>
                <w:b/>
                <w:sz w:val="20"/>
                <w:szCs w:val="20"/>
              </w:rPr>
            </w:pPr>
            <w:r>
              <w:rPr>
                <w:rFonts w:ascii="Calibri" w:eastAsia="Calibri" w:hAnsi="Calibri"/>
                <w:b/>
                <w:sz w:val="20"/>
                <w:szCs w:val="20"/>
              </w:rPr>
              <w:t>When were data collected</w:t>
            </w:r>
          </w:p>
        </w:tc>
        <w:tc>
          <w:tcPr>
            <w:tcW w:w="540" w:type="pct"/>
          </w:tcPr>
          <w:p w14:paraId="27F12F71" w14:textId="77777777" w:rsidR="00F066FA" w:rsidRDefault="00F066FA" w:rsidP="00F066FA">
            <w:pPr>
              <w:jc w:val="center"/>
              <w:rPr>
                <w:rFonts w:ascii="Calibri" w:eastAsia="Calibri" w:hAnsi="Calibri"/>
                <w:b/>
                <w:sz w:val="20"/>
                <w:szCs w:val="20"/>
              </w:rPr>
            </w:pPr>
            <w:r>
              <w:rPr>
                <w:rFonts w:ascii="Calibri" w:eastAsia="Calibri" w:hAnsi="Calibri"/>
                <w:b/>
                <w:sz w:val="20"/>
                <w:szCs w:val="20"/>
              </w:rPr>
              <w:t>Indicator</w:t>
            </w:r>
          </w:p>
        </w:tc>
        <w:tc>
          <w:tcPr>
            <w:tcW w:w="984" w:type="pct"/>
          </w:tcPr>
          <w:p w14:paraId="6AB5D73E" w14:textId="77777777" w:rsidR="00F066FA" w:rsidRDefault="00F066FA" w:rsidP="00F066FA">
            <w:pPr>
              <w:jc w:val="center"/>
              <w:rPr>
                <w:rFonts w:ascii="Calibri" w:eastAsia="Calibri" w:hAnsi="Calibri"/>
                <w:b/>
                <w:sz w:val="20"/>
                <w:szCs w:val="20"/>
              </w:rPr>
            </w:pPr>
            <w:r>
              <w:rPr>
                <w:rFonts w:ascii="Calibri" w:eastAsia="Calibri" w:hAnsi="Calibri"/>
                <w:b/>
                <w:sz w:val="20"/>
                <w:szCs w:val="20"/>
              </w:rPr>
              <w:t>Percent of students earning good or exemplary</w:t>
            </w:r>
          </w:p>
        </w:tc>
        <w:tc>
          <w:tcPr>
            <w:tcW w:w="1014" w:type="pct"/>
          </w:tcPr>
          <w:p w14:paraId="5D0F5384" w14:textId="77777777" w:rsidR="00F066FA" w:rsidRPr="008B0C16" w:rsidRDefault="00F066FA" w:rsidP="00F066FA">
            <w:pPr>
              <w:jc w:val="center"/>
              <w:rPr>
                <w:rFonts w:ascii="Calibri" w:eastAsia="Calibri" w:hAnsi="Calibri"/>
                <w:b/>
                <w:sz w:val="20"/>
                <w:szCs w:val="20"/>
              </w:rPr>
            </w:pPr>
            <w:r>
              <w:rPr>
                <w:rFonts w:ascii="Calibri" w:eastAsia="Calibri" w:hAnsi="Calibri"/>
                <w:b/>
                <w:sz w:val="20"/>
                <w:szCs w:val="20"/>
              </w:rPr>
              <w:t>2019-2020 Mean (sd)</w:t>
            </w:r>
          </w:p>
        </w:tc>
        <w:tc>
          <w:tcPr>
            <w:tcW w:w="567" w:type="pct"/>
          </w:tcPr>
          <w:p w14:paraId="3003E1AB" w14:textId="77777777" w:rsidR="00F066FA" w:rsidRDefault="00F066FA" w:rsidP="00F066FA">
            <w:pPr>
              <w:jc w:val="center"/>
              <w:rPr>
                <w:rFonts w:ascii="Calibri" w:eastAsia="Calibri" w:hAnsi="Calibri"/>
                <w:b/>
                <w:sz w:val="20"/>
                <w:szCs w:val="20"/>
              </w:rPr>
            </w:pPr>
            <w:r>
              <w:rPr>
                <w:rFonts w:ascii="Calibri" w:eastAsia="Calibri" w:hAnsi="Calibri"/>
                <w:b/>
                <w:sz w:val="20"/>
                <w:szCs w:val="20"/>
              </w:rPr>
              <w:t>2018-2019 Mean</w:t>
            </w:r>
          </w:p>
        </w:tc>
        <w:tc>
          <w:tcPr>
            <w:tcW w:w="595" w:type="pct"/>
          </w:tcPr>
          <w:p w14:paraId="1FF53A7C" w14:textId="77777777" w:rsidR="00F066FA" w:rsidRDefault="00F066FA" w:rsidP="00F066FA">
            <w:pPr>
              <w:jc w:val="center"/>
              <w:rPr>
                <w:rFonts w:ascii="Calibri" w:eastAsia="Calibri" w:hAnsi="Calibri"/>
                <w:b/>
                <w:sz w:val="20"/>
                <w:szCs w:val="20"/>
              </w:rPr>
            </w:pPr>
            <w:r>
              <w:rPr>
                <w:rFonts w:ascii="Calibri" w:eastAsia="Calibri" w:hAnsi="Calibri"/>
                <w:b/>
                <w:sz w:val="20"/>
                <w:szCs w:val="20"/>
              </w:rPr>
              <w:t>2017-2018</w:t>
            </w:r>
          </w:p>
          <w:p w14:paraId="1DD166F7" w14:textId="77777777" w:rsidR="00F066FA" w:rsidRDefault="00F066FA" w:rsidP="00F066FA">
            <w:pPr>
              <w:jc w:val="center"/>
              <w:rPr>
                <w:rFonts w:ascii="Calibri" w:eastAsia="Calibri" w:hAnsi="Calibri"/>
                <w:b/>
                <w:sz w:val="20"/>
                <w:szCs w:val="20"/>
              </w:rPr>
            </w:pPr>
            <w:r>
              <w:rPr>
                <w:rFonts w:ascii="Calibri" w:eastAsia="Calibri" w:hAnsi="Calibri"/>
                <w:b/>
                <w:sz w:val="20"/>
                <w:szCs w:val="20"/>
              </w:rPr>
              <w:t>Mean</w:t>
            </w:r>
          </w:p>
          <w:p w14:paraId="0567C2E3" w14:textId="77777777" w:rsidR="00F066FA" w:rsidRPr="008B0C16" w:rsidRDefault="00F066FA" w:rsidP="00F066FA">
            <w:pPr>
              <w:jc w:val="center"/>
              <w:rPr>
                <w:rFonts w:ascii="Calibri" w:eastAsia="Calibri" w:hAnsi="Calibri"/>
                <w:b/>
                <w:sz w:val="20"/>
                <w:szCs w:val="20"/>
              </w:rPr>
            </w:pPr>
          </w:p>
        </w:tc>
      </w:tr>
      <w:tr w:rsidR="00F066FA" w:rsidRPr="008B0C16" w14:paraId="196B8F96" w14:textId="77777777" w:rsidTr="00F066FA">
        <w:tc>
          <w:tcPr>
            <w:tcW w:w="583" w:type="pct"/>
          </w:tcPr>
          <w:p w14:paraId="01EAB1E1" w14:textId="77777777" w:rsidR="00F066FA" w:rsidRPr="008B0C16" w:rsidRDefault="00F066FA" w:rsidP="00F066FA">
            <w:pPr>
              <w:jc w:val="center"/>
              <w:rPr>
                <w:rFonts w:ascii="Calibri" w:eastAsia="Calibri" w:hAnsi="Calibri"/>
                <w:sz w:val="20"/>
                <w:szCs w:val="20"/>
              </w:rPr>
            </w:pPr>
            <w:r>
              <w:rPr>
                <w:rFonts w:ascii="Calibri" w:eastAsia="Calibri" w:hAnsi="Calibri"/>
                <w:sz w:val="20"/>
                <w:szCs w:val="20"/>
              </w:rPr>
              <w:t>CSC4990 capstone project</w:t>
            </w:r>
          </w:p>
        </w:tc>
        <w:tc>
          <w:tcPr>
            <w:tcW w:w="717" w:type="pct"/>
          </w:tcPr>
          <w:p w14:paraId="23B6C780" w14:textId="77777777" w:rsidR="00F066FA" w:rsidRPr="008B0C16" w:rsidRDefault="00F066FA" w:rsidP="00F066FA">
            <w:pPr>
              <w:jc w:val="center"/>
              <w:rPr>
                <w:rFonts w:ascii="Calibri" w:eastAsia="Calibri" w:hAnsi="Calibri"/>
                <w:sz w:val="20"/>
                <w:szCs w:val="20"/>
              </w:rPr>
            </w:pPr>
            <w:r>
              <w:rPr>
                <w:rFonts w:ascii="Calibri" w:eastAsia="Calibri" w:hAnsi="Calibri"/>
                <w:sz w:val="20"/>
                <w:szCs w:val="20"/>
              </w:rPr>
              <w:t>Spring 2020</w:t>
            </w:r>
          </w:p>
        </w:tc>
        <w:tc>
          <w:tcPr>
            <w:tcW w:w="540" w:type="pct"/>
          </w:tcPr>
          <w:p w14:paraId="36104D46" w14:textId="77777777" w:rsidR="00F066FA" w:rsidRDefault="00F066FA" w:rsidP="00F066FA">
            <w:pPr>
              <w:jc w:val="center"/>
              <w:rPr>
                <w:rFonts w:cs="Calibri"/>
                <w:color w:val="000000"/>
                <w:sz w:val="18"/>
                <w:szCs w:val="18"/>
                <w:lang w:val="en"/>
              </w:rPr>
            </w:pPr>
            <w:r>
              <w:rPr>
                <w:rFonts w:cs="Calibri"/>
                <w:color w:val="000000"/>
                <w:sz w:val="18"/>
                <w:szCs w:val="18"/>
                <w:lang w:val="en"/>
              </w:rPr>
              <w:t>a</w:t>
            </w:r>
          </w:p>
          <w:p w14:paraId="2A7143C2" w14:textId="77777777" w:rsidR="00F066FA" w:rsidRDefault="00F066FA" w:rsidP="00F066FA">
            <w:pPr>
              <w:jc w:val="center"/>
              <w:rPr>
                <w:rFonts w:cs="Calibri"/>
                <w:color w:val="000000"/>
                <w:sz w:val="18"/>
                <w:szCs w:val="18"/>
                <w:lang w:val="en"/>
              </w:rPr>
            </w:pPr>
          </w:p>
        </w:tc>
        <w:tc>
          <w:tcPr>
            <w:tcW w:w="984" w:type="pct"/>
          </w:tcPr>
          <w:p w14:paraId="56412E56" w14:textId="77777777" w:rsidR="00F066FA" w:rsidRDefault="00F066FA" w:rsidP="00F066FA">
            <w:pPr>
              <w:jc w:val="center"/>
              <w:rPr>
                <w:rFonts w:cs="Calibri"/>
                <w:color w:val="000000"/>
                <w:sz w:val="18"/>
                <w:szCs w:val="18"/>
                <w:lang w:val="en"/>
              </w:rPr>
            </w:pPr>
          </w:p>
          <w:p w14:paraId="1D9B7050" w14:textId="77777777" w:rsidR="00F066FA" w:rsidRDefault="00F066FA" w:rsidP="00F066FA">
            <w:pPr>
              <w:jc w:val="center"/>
              <w:rPr>
                <w:rFonts w:cs="Calibri"/>
                <w:color w:val="000000"/>
                <w:sz w:val="18"/>
                <w:szCs w:val="18"/>
                <w:lang w:val="en"/>
              </w:rPr>
            </w:pPr>
            <w:r>
              <w:rPr>
                <w:rFonts w:cs="Calibri"/>
                <w:color w:val="000000"/>
                <w:sz w:val="18"/>
                <w:szCs w:val="18"/>
                <w:lang w:val="en"/>
              </w:rPr>
              <w:t>81</w:t>
            </w:r>
          </w:p>
        </w:tc>
        <w:tc>
          <w:tcPr>
            <w:tcW w:w="1014" w:type="pct"/>
          </w:tcPr>
          <w:p w14:paraId="6F306315" w14:textId="77777777" w:rsidR="00F066FA" w:rsidRDefault="00F066FA" w:rsidP="00F066FA">
            <w:pPr>
              <w:jc w:val="center"/>
              <w:rPr>
                <w:rFonts w:cs="Calibri"/>
                <w:color w:val="000000"/>
                <w:sz w:val="18"/>
                <w:szCs w:val="18"/>
                <w:lang w:val="en"/>
              </w:rPr>
            </w:pPr>
          </w:p>
          <w:p w14:paraId="2E561B69" w14:textId="77777777" w:rsidR="00F066FA" w:rsidRDefault="00F066FA" w:rsidP="00F066FA">
            <w:pPr>
              <w:jc w:val="center"/>
              <w:rPr>
                <w:rFonts w:cs="Calibri"/>
                <w:color w:val="000000"/>
                <w:sz w:val="18"/>
                <w:szCs w:val="18"/>
                <w:lang w:val="en"/>
              </w:rPr>
            </w:pPr>
            <w:r>
              <w:rPr>
                <w:rFonts w:cs="Calibri"/>
                <w:color w:val="000000"/>
                <w:sz w:val="18"/>
                <w:szCs w:val="18"/>
                <w:lang w:val="en"/>
              </w:rPr>
              <w:t>3.2 (0.92)</w:t>
            </w:r>
          </w:p>
        </w:tc>
        <w:tc>
          <w:tcPr>
            <w:tcW w:w="567" w:type="pct"/>
          </w:tcPr>
          <w:p w14:paraId="38664B82" w14:textId="77777777" w:rsidR="00F066FA" w:rsidRDefault="00F066FA" w:rsidP="00F066FA">
            <w:pPr>
              <w:jc w:val="center"/>
              <w:rPr>
                <w:rFonts w:cs="Calibri"/>
                <w:color w:val="000000"/>
                <w:sz w:val="18"/>
                <w:szCs w:val="18"/>
                <w:lang w:val="en"/>
              </w:rPr>
            </w:pPr>
            <w:r>
              <w:rPr>
                <w:rFonts w:cs="Calibri"/>
                <w:color w:val="000000"/>
                <w:sz w:val="18"/>
                <w:szCs w:val="18"/>
                <w:lang w:val="en"/>
              </w:rPr>
              <w:t>2.89</w:t>
            </w:r>
          </w:p>
        </w:tc>
        <w:tc>
          <w:tcPr>
            <w:tcW w:w="595" w:type="pct"/>
          </w:tcPr>
          <w:p w14:paraId="476B9530" w14:textId="77777777" w:rsidR="00F066FA" w:rsidRDefault="00F066FA" w:rsidP="00F066FA">
            <w:pPr>
              <w:jc w:val="center"/>
              <w:rPr>
                <w:rFonts w:cs="Calibri"/>
                <w:color w:val="000000"/>
                <w:sz w:val="18"/>
                <w:szCs w:val="18"/>
                <w:lang w:val="en"/>
              </w:rPr>
            </w:pPr>
          </w:p>
          <w:p w14:paraId="05473FE9" w14:textId="77777777" w:rsidR="00F066FA" w:rsidRPr="00F01182" w:rsidRDefault="00F066FA" w:rsidP="00F066FA">
            <w:pPr>
              <w:jc w:val="center"/>
              <w:rPr>
                <w:rFonts w:cs="Calibri"/>
                <w:color w:val="000000"/>
                <w:sz w:val="18"/>
                <w:szCs w:val="18"/>
                <w:lang w:val="en"/>
              </w:rPr>
            </w:pPr>
            <w:r>
              <w:rPr>
                <w:rFonts w:cs="Calibri"/>
                <w:color w:val="000000"/>
                <w:sz w:val="18"/>
                <w:szCs w:val="18"/>
                <w:lang w:val="en"/>
              </w:rPr>
              <w:t>3.04</w:t>
            </w:r>
          </w:p>
        </w:tc>
      </w:tr>
      <w:tr w:rsidR="00F066FA" w:rsidRPr="008B0C16" w14:paraId="22695FE7" w14:textId="77777777" w:rsidTr="00F066FA">
        <w:tc>
          <w:tcPr>
            <w:tcW w:w="583" w:type="pct"/>
          </w:tcPr>
          <w:p w14:paraId="4E701AF9" w14:textId="77777777" w:rsidR="00F066FA" w:rsidRPr="008B0C16" w:rsidRDefault="00F066FA" w:rsidP="00F066FA">
            <w:pPr>
              <w:jc w:val="center"/>
              <w:rPr>
                <w:rFonts w:ascii="Calibri" w:eastAsia="Calibri" w:hAnsi="Calibri"/>
                <w:sz w:val="20"/>
                <w:szCs w:val="20"/>
              </w:rPr>
            </w:pPr>
            <w:r>
              <w:rPr>
                <w:rFonts w:ascii="Calibri" w:eastAsia="Calibri" w:hAnsi="Calibri"/>
                <w:sz w:val="20"/>
                <w:szCs w:val="20"/>
              </w:rPr>
              <w:t>CSC4500 project</w:t>
            </w:r>
          </w:p>
        </w:tc>
        <w:tc>
          <w:tcPr>
            <w:tcW w:w="717" w:type="pct"/>
          </w:tcPr>
          <w:p w14:paraId="3DC7A61D" w14:textId="77777777" w:rsidR="00F066FA" w:rsidRPr="008B0C16" w:rsidRDefault="00F066FA" w:rsidP="00F066FA">
            <w:pPr>
              <w:jc w:val="center"/>
              <w:rPr>
                <w:rFonts w:ascii="Calibri" w:eastAsia="Calibri" w:hAnsi="Calibri"/>
                <w:sz w:val="20"/>
                <w:szCs w:val="20"/>
              </w:rPr>
            </w:pPr>
            <w:r>
              <w:rPr>
                <w:rFonts w:ascii="Calibri" w:eastAsia="Calibri" w:hAnsi="Calibri"/>
                <w:sz w:val="20"/>
                <w:szCs w:val="20"/>
              </w:rPr>
              <w:t>Fall 2019</w:t>
            </w:r>
          </w:p>
        </w:tc>
        <w:tc>
          <w:tcPr>
            <w:tcW w:w="540" w:type="pct"/>
          </w:tcPr>
          <w:p w14:paraId="2F3C7057" w14:textId="77777777" w:rsidR="00F066FA" w:rsidRDefault="00F066FA" w:rsidP="00F066FA">
            <w:pPr>
              <w:jc w:val="center"/>
              <w:rPr>
                <w:rFonts w:ascii="Calibri" w:eastAsia="Calibri" w:hAnsi="Calibri"/>
                <w:sz w:val="20"/>
                <w:szCs w:val="20"/>
              </w:rPr>
            </w:pPr>
            <w:r>
              <w:rPr>
                <w:rFonts w:ascii="Calibri" w:eastAsia="Calibri" w:hAnsi="Calibri"/>
                <w:sz w:val="20"/>
                <w:szCs w:val="20"/>
              </w:rPr>
              <w:t>i</w:t>
            </w:r>
          </w:p>
        </w:tc>
        <w:tc>
          <w:tcPr>
            <w:tcW w:w="984" w:type="pct"/>
          </w:tcPr>
          <w:p w14:paraId="3CAE9039" w14:textId="77777777" w:rsidR="00F066FA" w:rsidRPr="008B0C16" w:rsidRDefault="00F066FA" w:rsidP="00F066FA">
            <w:pPr>
              <w:jc w:val="center"/>
              <w:rPr>
                <w:rFonts w:ascii="Calibri" w:eastAsia="Calibri" w:hAnsi="Calibri"/>
                <w:sz w:val="20"/>
                <w:szCs w:val="20"/>
              </w:rPr>
            </w:pPr>
            <w:r>
              <w:rPr>
                <w:rFonts w:ascii="Calibri" w:eastAsia="Calibri" w:hAnsi="Calibri"/>
                <w:sz w:val="20"/>
                <w:szCs w:val="20"/>
              </w:rPr>
              <w:t>100</w:t>
            </w:r>
          </w:p>
        </w:tc>
        <w:tc>
          <w:tcPr>
            <w:tcW w:w="1014" w:type="pct"/>
          </w:tcPr>
          <w:p w14:paraId="0FDFB3A6" w14:textId="77777777" w:rsidR="00F066FA" w:rsidRPr="008B0C16" w:rsidRDefault="00F066FA" w:rsidP="00F066FA">
            <w:pPr>
              <w:jc w:val="center"/>
              <w:rPr>
                <w:rFonts w:ascii="Calibri" w:eastAsia="Calibri" w:hAnsi="Calibri"/>
                <w:sz w:val="20"/>
                <w:szCs w:val="20"/>
              </w:rPr>
            </w:pPr>
            <w:r>
              <w:rPr>
                <w:rFonts w:ascii="Calibri" w:eastAsia="Calibri" w:hAnsi="Calibri"/>
                <w:sz w:val="20"/>
                <w:szCs w:val="20"/>
              </w:rPr>
              <w:t>3.73 (0.45)</w:t>
            </w:r>
          </w:p>
        </w:tc>
        <w:tc>
          <w:tcPr>
            <w:tcW w:w="567" w:type="pct"/>
          </w:tcPr>
          <w:p w14:paraId="13FBB216" w14:textId="77777777" w:rsidR="00F066FA" w:rsidRDefault="00F066FA" w:rsidP="00F066FA">
            <w:pPr>
              <w:jc w:val="center"/>
              <w:rPr>
                <w:rFonts w:ascii="Calibri" w:eastAsia="Calibri" w:hAnsi="Calibri"/>
                <w:sz w:val="20"/>
                <w:szCs w:val="20"/>
              </w:rPr>
            </w:pPr>
            <w:r>
              <w:rPr>
                <w:rFonts w:ascii="Calibri" w:eastAsia="Calibri" w:hAnsi="Calibri"/>
                <w:sz w:val="20"/>
                <w:szCs w:val="20"/>
              </w:rPr>
              <w:t>n/a</w:t>
            </w:r>
          </w:p>
        </w:tc>
        <w:tc>
          <w:tcPr>
            <w:tcW w:w="595" w:type="pct"/>
          </w:tcPr>
          <w:p w14:paraId="39EBB41C" w14:textId="77777777" w:rsidR="00F066FA" w:rsidRPr="008B0C16" w:rsidRDefault="00F066FA" w:rsidP="00F066FA">
            <w:pPr>
              <w:jc w:val="center"/>
              <w:rPr>
                <w:rFonts w:ascii="Calibri" w:eastAsia="Calibri" w:hAnsi="Calibri"/>
                <w:sz w:val="20"/>
                <w:szCs w:val="20"/>
              </w:rPr>
            </w:pPr>
            <w:r>
              <w:rPr>
                <w:rFonts w:ascii="Calibri" w:eastAsia="Calibri" w:hAnsi="Calibri"/>
                <w:sz w:val="20"/>
                <w:szCs w:val="20"/>
              </w:rPr>
              <w:t>n/a</w:t>
            </w:r>
          </w:p>
        </w:tc>
      </w:tr>
    </w:tbl>
    <w:p w14:paraId="4927DBA6" w14:textId="3EA735CB" w:rsidR="00F066FA" w:rsidRDefault="00F066FA" w:rsidP="00F066FA">
      <w:pPr>
        <w:rPr>
          <w:rFonts w:ascii="Calibri" w:eastAsia="Calibri" w:hAnsi="Calibri"/>
          <w:b/>
        </w:rPr>
      </w:pPr>
    </w:p>
    <w:p w14:paraId="4F3B2E73" w14:textId="77777777" w:rsidR="00524550" w:rsidRDefault="00524550" w:rsidP="00524550">
      <w:pPr>
        <w:pStyle w:val="BodyTextIndent"/>
      </w:pPr>
    </w:p>
    <w:p w14:paraId="2C71BF54" w14:textId="39D0446F" w:rsidR="00524550" w:rsidRPr="00524550" w:rsidRDefault="00524550" w:rsidP="00524550">
      <w:pPr>
        <w:contextualSpacing/>
        <w:rPr>
          <w:b/>
        </w:rPr>
      </w:pPr>
      <w:r w:rsidRPr="00524550">
        <w:rPr>
          <w:b/>
        </w:rPr>
        <w:t>PO</w:t>
      </w:r>
      <w:r>
        <w:rPr>
          <w:b/>
        </w:rPr>
        <w:t xml:space="preserve"> #1</w:t>
      </w:r>
      <w:r w:rsidRPr="00524550">
        <w:rPr>
          <w:b/>
        </w:rPr>
        <w:t xml:space="preserve"> Analysis </w:t>
      </w:r>
    </w:p>
    <w:p w14:paraId="214674AD" w14:textId="77777777" w:rsidR="006E78A2" w:rsidRPr="00A079A8" w:rsidRDefault="006E78A2" w:rsidP="00524550">
      <w:pPr>
        <w:rPr>
          <w:bCs/>
        </w:rPr>
      </w:pPr>
      <w:r>
        <w:rPr>
          <w:bCs/>
        </w:rPr>
        <w:t>Students are meeting all benchmarks in all indicators for this objective.</w:t>
      </w:r>
    </w:p>
    <w:p w14:paraId="26F6D050" w14:textId="77777777" w:rsidR="006E78A2" w:rsidRDefault="006E78A2" w:rsidP="00524550">
      <w:pPr>
        <w:pStyle w:val="NoSpacing"/>
      </w:pPr>
      <w:r>
        <w:t>The high variance in scored for indicator (a) should be investigated to determine if students will continue to meet this benchmark</w:t>
      </w:r>
    </w:p>
    <w:p w14:paraId="533783CB" w14:textId="6AB35078" w:rsidR="00F066FA" w:rsidRDefault="00A44E13" w:rsidP="00A44E13">
      <w:pPr>
        <w:tabs>
          <w:tab w:val="left" w:pos="8220"/>
        </w:tabs>
        <w:rPr>
          <w:rFonts w:ascii="Calibri" w:eastAsia="Calibri" w:hAnsi="Calibri"/>
          <w:b/>
        </w:rPr>
      </w:pPr>
      <w:r>
        <w:rPr>
          <w:rFonts w:ascii="Calibri" w:eastAsia="Calibri" w:hAnsi="Calibri"/>
          <w:b/>
        </w:rPr>
        <w:tab/>
      </w:r>
    </w:p>
    <w:p w14:paraId="779C7EAF" w14:textId="77777777" w:rsidR="00F066FA" w:rsidRDefault="00F066FA" w:rsidP="00F066FA">
      <w:pPr>
        <w:rPr>
          <w:color w:val="000000"/>
          <w:sz w:val="18"/>
          <w:szCs w:val="18"/>
        </w:rPr>
      </w:pPr>
    </w:p>
    <w:p w14:paraId="6304A1DB" w14:textId="77777777" w:rsidR="00F066FA" w:rsidRPr="00524550" w:rsidRDefault="00F066FA" w:rsidP="00F066FA">
      <w:pPr>
        <w:rPr>
          <w:color w:val="000000"/>
          <w:szCs w:val="18"/>
        </w:rPr>
      </w:pPr>
      <w:r w:rsidRPr="008B0C16">
        <w:rPr>
          <w:rFonts w:ascii="Calibri" w:eastAsia="Calibri" w:hAnsi="Calibri"/>
          <w:b/>
        </w:rPr>
        <w:t xml:space="preserve">ASSESSMENT </w:t>
      </w:r>
      <w:r>
        <w:rPr>
          <w:rFonts w:ascii="Calibri" w:eastAsia="Calibri" w:hAnsi="Calibri"/>
          <w:b/>
        </w:rPr>
        <w:t xml:space="preserve">DATA FOR OUTCOME 3 - </w:t>
      </w:r>
      <w:r w:rsidRPr="00524550">
        <w:rPr>
          <w:color w:val="000000"/>
          <w:szCs w:val="18"/>
        </w:rPr>
        <w:t>Evaluate and develop solutions in an organization by integrating computer science practices of programming and theory.</w:t>
      </w:r>
    </w:p>
    <w:p w14:paraId="3C939878" w14:textId="77777777" w:rsidR="00F066FA" w:rsidRPr="008B0C16" w:rsidRDefault="00F066FA" w:rsidP="00F066FA">
      <w:pPr>
        <w:rPr>
          <w:rFonts w:ascii="Calibri" w:eastAsia="Calibri" w:hAnsi="Calibri"/>
          <w:b/>
          <w:sz w:val="20"/>
          <w:szCs w:val="20"/>
        </w:rPr>
      </w:pPr>
      <w:r w:rsidRPr="008B0C16">
        <w:rPr>
          <w:rFonts w:ascii="Calibri" w:eastAsia="Calibri" w:hAnsi="Calibri"/>
          <w:b/>
          <w:sz w:val="20"/>
          <w:szCs w:val="20"/>
        </w:rPr>
        <w:br/>
      </w:r>
    </w:p>
    <w:tbl>
      <w:tblPr>
        <w:tblW w:w="5195" w:type="pct"/>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531"/>
        <w:gridCol w:w="1080"/>
        <w:gridCol w:w="1887"/>
        <w:gridCol w:w="1261"/>
        <w:gridCol w:w="1350"/>
        <w:gridCol w:w="1162"/>
      </w:tblGrid>
      <w:tr w:rsidR="00F066FA" w:rsidRPr="008B0C16" w14:paraId="4DC71801" w14:textId="77777777" w:rsidTr="008300E9">
        <w:tc>
          <w:tcPr>
            <w:tcW w:w="743" w:type="pct"/>
          </w:tcPr>
          <w:p w14:paraId="054CFA8F" w14:textId="77777777" w:rsidR="00F066FA" w:rsidRPr="008B0C16" w:rsidRDefault="00F066FA" w:rsidP="00F066FA">
            <w:pPr>
              <w:rPr>
                <w:rFonts w:ascii="Calibri" w:eastAsia="Calibri" w:hAnsi="Calibri"/>
                <w:b/>
                <w:sz w:val="20"/>
                <w:szCs w:val="20"/>
              </w:rPr>
            </w:pPr>
            <w:r>
              <w:rPr>
                <w:rFonts w:ascii="Calibri" w:eastAsia="Calibri" w:hAnsi="Calibri"/>
                <w:b/>
                <w:sz w:val="20"/>
                <w:szCs w:val="20"/>
              </w:rPr>
              <w:t>What data sources were used</w:t>
            </w:r>
          </w:p>
        </w:tc>
        <w:tc>
          <w:tcPr>
            <w:tcW w:w="788" w:type="pct"/>
          </w:tcPr>
          <w:p w14:paraId="7534E496" w14:textId="77777777" w:rsidR="00F066FA" w:rsidRPr="008B0C16" w:rsidRDefault="00F066FA" w:rsidP="00F066FA">
            <w:pPr>
              <w:rPr>
                <w:rFonts w:ascii="Calibri" w:eastAsia="Calibri" w:hAnsi="Calibri"/>
                <w:b/>
                <w:sz w:val="20"/>
                <w:szCs w:val="20"/>
              </w:rPr>
            </w:pPr>
            <w:r>
              <w:rPr>
                <w:rFonts w:ascii="Calibri" w:eastAsia="Calibri" w:hAnsi="Calibri"/>
                <w:b/>
                <w:sz w:val="20"/>
                <w:szCs w:val="20"/>
              </w:rPr>
              <w:t>When were data collected</w:t>
            </w:r>
          </w:p>
        </w:tc>
        <w:tc>
          <w:tcPr>
            <w:tcW w:w="556" w:type="pct"/>
          </w:tcPr>
          <w:p w14:paraId="093247E1" w14:textId="77777777" w:rsidR="00F066FA" w:rsidRDefault="00F066FA" w:rsidP="00F066FA">
            <w:pPr>
              <w:rPr>
                <w:rFonts w:ascii="Calibri" w:eastAsia="Calibri" w:hAnsi="Calibri"/>
                <w:b/>
                <w:sz w:val="20"/>
                <w:szCs w:val="20"/>
              </w:rPr>
            </w:pPr>
            <w:r>
              <w:rPr>
                <w:rFonts w:ascii="Calibri" w:eastAsia="Calibri" w:hAnsi="Calibri"/>
                <w:b/>
                <w:sz w:val="20"/>
                <w:szCs w:val="20"/>
              </w:rPr>
              <w:t>Indicator</w:t>
            </w:r>
          </w:p>
        </w:tc>
        <w:tc>
          <w:tcPr>
            <w:tcW w:w="971" w:type="pct"/>
          </w:tcPr>
          <w:p w14:paraId="68FC401A" w14:textId="77777777" w:rsidR="00F066FA" w:rsidRPr="008B0C16" w:rsidRDefault="00F066FA" w:rsidP="00F066FA">
            <w:pPr>
              <w:rPr>
                <w:rFonts w:ascii="Calibri" w:eastAsia="Calibri" w:hAnsi="Calibri"/>
                <w:b/>
                <w:sz w:val="20"/>
                <w:szCs w:val="20"/>
              </w:rPr>
            </w:pPr>
            <w:r>
              <w:rPr>
                <w:rFonts w:ascii="Calibri" w:eastAsia="Calibri" w:hAnsi="Calibri"/>
                <w:b/>
                <w:sz w:val="20"/>
                <w:szCs w:val="20"/>
              </w:rPr>
              <w:t>Percent of students earning good or exemplary</w:t>
            </w:r>
          </w:p>
        </w:tc>
        <w:tc>
          <w:tcPr>
            <w:tcW w:w="649" w:type="pct"/>
          </w:tcPr>
          <w:p w14:paraId="30341C95" w14:textId="77777777" w:rsidR="00F066FA" w:rsidRPr="008B0C16" w:rsidRDefault="00F066FA" w:rsidP="00F066FA">
            <w:pPr>
              <w:rPr>
                <w:rFonts w:ascii="Calibri" w:eastAsia="Calibri" w:hAnsi="Calibri"/>
                <w:b/>
                <w:sz w:val="20"/>
                <w:szCs w:val="20"/>
              </w:rPr>
            </w:pPr>
            <w:r>
              <w:rPr>
                <w:rFonts w:ascii="Calibri" w:eastAsia="Calibri" w:hAnsi="Calibri"/>
                <w:b/>
                <w:sz w:val="20"/>
                <w:szCs w:val="20"/>
              </w:rPr>
              <w:t>2019-2020 Mean (sd)</w:t>
            </w:r>
          </w:p>
        </w:tc>
        <w:tc>
          <w:tcPr>
            <w:tcW w:w="695" w:type="pct"/>
          </w:tcPr>
          <w:p w14:paraId="5A3952A0" w14:textId="77777777" w:rsidR="00F066FA" w:rsidRDefault="00F066FA" w:rsidP="00F066FA">
            <w:pPr>
              <w:rPr>
                <w:rFonts w:ascii="Calibri" w:eastAsia="Calibri" w:hAnsi="Calibri"/>
                <w:b/>
                <w:sz w:val="20"/>
                <w:szCs w:val="20"/>
              </w:rPr>
            </w:pPr>
            <w:r>
              <w:rPr>
                <w:rFonts w:ascii="Calibri" w:eastAsia="Calibri" w:hAnsi="Calibri"/>
                <w:b/>
                <w:sz w:val="20"/>
                <w:szCs w:val="20"/>
              </w:rPr>
              <w:t>2018-2019 Mean</w:t>
            </w:r>
          </w:p>
        </w:tc>
        <w:tc>
          <w:tcPr>
            <w:tcW w:w="599" w:type="pct"/>
          </w:tcPr>
          <w:p w14:paraId="64239D70" w14:textId="77777777" w:rsidR="00F066FA" w:rsidRDefault="00F066FA" w:rsidP="00F066FA">
            <w:pPr>
              <w:jc w:val="center"/>
              <w:rPr>
                <w:rFonts w:ascii="Calibri" w:eastAsia="Calibri" w:hAnsi="Calibri"/>
                <w:b/>
                <w:sz w:val="20"/>
                <w:szCs w:val="20"/>
              </w:rPr>
            </w:pPr>
            <w:r>
              <w:rPr>
                <w:rFonts w:ascii="Calibri" w:eastAsia="Calibri" w:hAnsi="Calibri"/>
                <w:b/>
                <w:sz w:val="20"/>
                <w:szCs w:val="20"/>
              </w:rPr>
              <w:t>2017-2018</w:t>
            </w:r>
          </w:p>
          <w:p w14:paraId="455BBF4F" w14:textId="77777777" w:rsidR="00F066FA" w:rsidRDefault="00F066FA" w:rsidP="00F066FA">
            <w:pPr>
              <w:jc w:val="center"/>
              <w:rPr>
                <w:rFonts w:ascii="Calibri" w:eastAsia="Calibri" w:hAnsi="Calibri"/>
                <w:b/>
                <w:sz w:val="20"/>
                <w:szCs w:val="20"/>
              </w:rPr>
            </w:pPr>
            <w:r>
              <w:rPr>
                <w:rFonts w:ascii="Calibri" w:eastAsia="Calibri" w:hAnsi="Calibri"/>
                <w:b/>
                <w:sz w:val="20"/>
                <w:szCs w:val="20"/>
              </w:rPr>
              <w:t>Mean</w:t>
            </w:r>
          </w:p>
          <w:p w14:paraId="6BC70992" w14:textId="77777777" w:rsidR="00F066FA" w:rsidRPr="008B0C16" w:rsidRDefault="00F066FA" w:rsidP="00F066FA">
            <w:pPr>
              <w:rPr>
                <w:rFonts w:ascii="Calibri" w:eastAsia="Calibri" w:hAnsi="Calibri"/>
                <w:b/>
                <w:sz w:val="20"/>
                <w:szCs w:val="20"/>
              </w:rPr>
            </w:pPr>
          </w:p>
        </w:tc>
      </w:tr>
      <w:tr w:rsidR="00F066FA" w:rsidRPr="008B0C16" w14:paraId="1C060B56" w14:textId="77777777" w:rsidTr="008300E9">
        <w:tc>
          <w:tcPr>
            <w:tcW w:w="743" w:type="pct"/>
          </w:tcPr>
          <w:p w14:paraId="69F0C2D7" w14:textId="77777777" w:rsidR="00F066FA" w:rsidRPr="008B0C16" w:rsidRDefault="00F066FA" w:rsidP="00F066FA">
            <w:pPr>
              <w:rPr>
                <w:rFonts w:ascii="Calibri" w:eastAsia="Calibri" w:hAnsi="Calibri"/>
                <w:sz w:val="20"/>
                <w:szCs w:val="20"/>
              </w:rPr>
            </w:pPr>
            <w:r>
              <w:rPr>
                <w:rFonts w:ascii="Calibri" w:eastAsia="Calibri" w:hAnsi="Calibri"/>
                <w:sz w:val="20"/>
                <w:szCs w:val="20"/>
              </w:rPr>
              <w:t>CSC4500 project</w:t>
            </w:r>
          </w:p>
        </w:tc>
        <w:tc>
          <w:tcPr>
            <w:tcW w:w="788" w:type="pct"/>
          </w:tcPr>
          <w:p w14:paraId="546FA233" w14:textId="77777777" w:rsidR="00F066FA" w:rsidRPr="008B0C16" w:rsidRDefault="00F066FA" w:rsidP="00F066FA">
            <w:pPr>
              <w:rPr>
                <w:rFonts w:ascii="Calibri" w:eastAsia="Calibri" w:hAnsi="Calibri"/>
                <w:sz w:val="20"/>
                <w:szCs w:val="20"/>
              </w:rPr>
            </w:pPr>
            <w:r>
              <w:rPr>
                <w:rFonts w:ascii="Calibri" w:eastAsia="Calibri" w:hAnsi="Calibri"/>
                <w:sz w:val="20"/>
                <w:szCs w:val="20"/>
              </w:rPr>
              <w:t>Fall 2019</w:t>
            </w:r>
          </w:p>
        </w:tc>
        <w:tc>
          <w:tcPr>
            <w:tcW w:w="556" w:type="pct"/>
          </w:tcPr>
          <w:p w14:paraId="59AE4E2D" w14:textId="77777777" w:rsidR="00F066FA" w:rsidRDefault="00F066FA" w:rsidP="00F066FA">
            <w:pPr>
              <w:jc w:val="center"/>
              <w:rPr>
                <w:rFonts w:cs="Calibri"/>
                <w:color w:val="000000"/>
                <w:sz w:val="18"/>
                <w:szCs w:val="18"/>
                <w:lang w:val="en"/>
              </w:rPr>
            </w:pPr>
            <w:r>
              <w:rPr>
                <w:rFonts w:cs="Calibri"/>
                <w:color w:val="000000"/>
                <w:sz w:val="18"/>
                <w:szCs w:val="18"/>
                <w:lang w:val="en"/>
              </w:rPr>
              <w:t>b)</w:t>
            </w:r>
          </w:p>
        </w:tc>
        <w:tc>
          <w:tcPr>
            <w:tcW w:w="971" w:type="pct"/>
          </w:tcPr>
          <w:p w14:paraId="0EF9F169" w14:textId="77777777" w:rsidR="00F066FA" w:rsidRDefault="00F066FA" w:rsidP="00F066FA">
            <w:pPr>
              <w:jc w:val="center"/>
              <w:rPr>
                <w:rFonts w:cs="Calibri"/>
                <w:color w:val="000000"/>
                <w:sz w:val="18"/>
                <w:szCs w:val="18"/>
                <w:lang w:val="en"/>
              </w:rPr>
            </w:pPr>
            <w:r>
              <w:rPr>
                <w:rFonts w:cs="Calibri"/>
                <w:color w:val="000000"/>
                <w:sz w:val="18"/>
                <w:szCs w:val="18"/>
                <w:lang w:val="en"/>
              </w:rPr>
              <w:t>100</w:t>
            </w:r>
          </w:p>
        </w:tc>
        <w:tc>
          <w:tcPr>
            <w:tcW w:w="649" w:type="pct"/>
          </w:tcPr>
          <w:p w14:paraId="25AF138D" w14:textId="77777777" w:rsidR="00F066FA" w:rsidRDefault="00F066FA" w:rsidP="00F066FA">
            <w:pPr>
              <w:jc w:val="center"/>
              <w:rPr>
                <w:rFonts w:cs="Calibri"/>
                <w:color w:val="000000"/>
                <w:sz w:val="18"/>
                <w:szCs w:val="18"/>
                <w:lang w:val="en"/>
              </w:rPr>
            </w:pPr>
            <w:r>
              <w:rPr>
                <w:rFonts w:cs="Calibri"/>
                <w:color w:val="000000"/>
                <w:sz w:val="18"/>
                <w:szCs w:val="18"/>
                <w:lang w:val="en"/>
              </w:rPr>
              <w:t>3.5 (0.51)</w:t>
            </w:r>
          </w:p>
          <w:p w14:paraId="488DC9DC" w14:textId="77777777" w:rsidR="00F066FA" w:rsidRDefault="00F066FA" w:rsidP="00F066FA">
            <w:pPr>
              <w:jc w:val="center"/>
              <w:rPr>
                <w:rFonts w:cs="Calibri"/>
                <w:color w:val="000000"/>
                <w:sz w:val="18"/>
                <w:szCs w:val="18"/>
                <w:lang w:val="en"/>
              </w:rPr>
            </w:pPr>
          </w:p>
        </w:tc>
        <w:tc>
          <w:tcPr>
            <w:tcW w:w="695" w:type="pct"/>
          </w:tcPr>
          <w:p w14:paraId="0285DB43" w14:textId="77777777" w:rsidR="00F066FA" w:rsidRDefault="00F066FA" w:rsidP="00F066FA">
            <w:pPr>
              <w:jc w:val="center"/>
              <w:rPr>
                <w:rFonts w:cs="Calibri"/>
                <w:color w:val="000000"/>
                <w:sz w:val="18"/>
                <w:szCs w:val="18"/>
                <w:lang w:val="en"/>
              </w:rPr>
            </w:pPr>
            <w:r>
              <w:rPr>
                <w:rFonts w:cs="Calibri"/>
                <w:color w:val="000000"/>
                <w:sz w:val="18"/>
                <w:szCs w:val="18"/>
                <w:lang w:val="en"/>
              </w:rPr>
              <w:t>3.22</w:t>
            </w:r>
          </w:p>
          <w:p w14:paraId="643940C0" w14:textId="77777777" w:rsidR="00F066FA" w:rsidRDefault="00F066FA" w:rsidP="00F066FA">
            <w:pPr>
              <w:jc w:val="center"/>
              <w:rPr>
                <w:rFonts w:cs="Calibri"/>
                <w:color w:val="000000"/>
                <w:sz w:val="18"/>
                <w:szCs w:val="18"/>
                <w:lang w:val="en"/>
              </w:rPr>
            </w:pPr>
          </w:p>
        </w:tc>
        <w:tc>
          <w:tcPr>
            <w:tcW w:w="599" w:type="pct"/>
          </w:tcPr>
          <w:p w14:paraId="0375F46D" w14:textId="77777777" w:rsidR="00F066FA" w:rsidRDefault="00F066FA" w:rsidP="00F066FA">
            <w:pPr>
              <w:jc w:val="center"/>
              <w:rPr>
                <w:rFonts w:cs="Calibri"/>
                <w:color w:val="000000"/>
                <w:sz w:val="18"/>
                <w:szCs w:val="18"/>
                <w:lang w:val="en"/>
              </w:rPr>
            </w:pPr>
            <w:r>
              <w:rPr>
                <w:rFonts w:cs="Calibri"/>
                <w:color w:val="000000"/>
                <w:sz w:val="18"/>
                <w:szCs w:val="18"/>
                <w:lang w:val="en"/>
              </w:rPr>
              <w:t>3.14</w:t>
            </w:r>
          </w:p>
          <w:p w14:paraId="5F2EA893" w14:textId="77777777" w:rsidR="00F066FA" w:rsidRDefault="00F066FA" w:rsidP="00F066FA">
            <w:pPr>
              <w:jc w:val="center"/>
              <w:rPr>
                <w:rFonts w:cs="Calibri"/>
                <w:color w:val="000000"/>
                <w:sz w:val="18"/>
                <w:szCs w:val="18"/>
                <w:lang w:val="en"/>
              </w:rPr>
            </w:pPr>
          </w:p>
        </w:tc>
      </w:tr>
      <w:tr w:rsidR="00F066FA" w:rsidRPr="008B0C16" w14:paraId="731D0E90" w14:textId="77777777" w:rsidTr="008300E9">
        <w:tc>
          <w:tcPr>
            <w:tcW w:w="743" w:type="pct"/>
          </w:tcPr>
          <w:p w14:paraId="2EEDA65A" w14:textId="77777777" w:rsidR="00F066FA" w:rsidRDefault="00F066FA" w:rsidP="00F066FA">
            <w:pPr>
              <w:rPr>
                <w:rFonts w:ascii="Calibri" w:eastAsia="Calibri" w:hAnsi="Calibri"/>
                <w:sz w:val="20"/>
                <w:szCs w:val="20"/>
              </w:rPr>
            </w:pPr>
            <w:r>
              <w:rPr>
                <w:rFonts w:ascii="Calibri" w:eastAsia="Calibri" w:hAnsi="Calibri"/>
                <w:sz w:val="20"/>
                <w:szCs w:val="20"/>
              </w:rPr>
              <w:t>CSC4990 capstone project</w:t>
            </w:r>
          </w:p>
        </w:tc>
        <w:tc>
          <w:tcPr>
            <w:tcW w:w="788" w:type="pct"/>
          </w:tcPr>
          <w:p w14:paraId="6E13A8CE" w14:textId="77777777" w:rsidR="00F066FA" w:rsidRDefault="00F066FA" w:rsidP="00F066FA">
            <w:pPr>
              <w:rPr>
                <w:rFonts w:ascii="Calibri" w:eastAsia="Calibri" w:hAnsi="Calibri"/>
                <w:sz w:val="20"/>
                <w:szCs w:val="20"/>
              </w:rPr>
            </w:pPr>
            <w:r>
              <w:rPr>
                <w:rFonts w:ascii="Calibri" w:eastAsia="Calibri" w:hAnsi="Calibri"/>
                <w:sz w:val="20"/>
                <w:szCs w:val="20"/>
              </w:rPr>
              <w:t>Spring 2020</w:t>
            </w:r>
          </w:p>
        </w:tc>
        <w:tc>
          <w:tcPr>
            <w:tcW w:w="556" w:type="pct"/>
          </w:tcPr>
          <w:p w14:paraId="033FC613" w14:textId="77777777" w:rsidR="00F066FA" w:rsidRDefault="00F066FA" w:rsidP="00F066FA">
            <w:pPr>
              <w:jc w:val="center"/>
              <w:rPr>
                <w:rFonts w:cs="Calibri"/>
                <w:color w:val="000000"/>
                <w:sz w:val="18"/>
                <w:szCs w:val="18"/>
                <w:lang w:val="en"/>
              </w:rPr>
            </w:pPr>
            <w:r>
              <w:rPr>
                <w:rFonts w:cs="Calibri"/>
                <w:color w:val="000000"/>
                <w:sz w:val="18"/>
                <w:szCs w:val="18"/>
                <w:lang w:val="en"/>
              </w:rPr>
              <w:t>c)design and implement</w:t>
            </w:r>
          </w:p>
          <w:p w14:paraId="409E7549" w14:textId="77777777" w:rsidR="00F066FA" w:rsidRDefault="00F066FA" w:rsidP="00F066FA">
            <w:pPr>
              <w:jc w:val="center"/>
              <w:rPr>
                <w:rFonts w:cs="Calibri"/>
                <w:color w:val="000000"/>
                <w:sz w:val="18"/>
                <w:szCs w:val="18"/>
                <w:lang w:val="en"/>
              </w:rPr>
            </w:pPr>
          </w:p>
          <w:p w14:paraId="1A0635B6" w14:textId="391D49E6" w:rsidR="00F066FA" w:rsidRDefault="00F066FA" w:rsidP="00F066FA">
            <w:pPr>
              <w:jc w:val="center"/>
              <w:rPr>
                <w:rFonts w:cs="Calibri"/>
                <w:color w:val="000000"/>
                <w:sz w:val="18"/>
                <w:szCs w:val="18"/>
                <w:lang w:val="en"/>
              </w:rPr>
            </w:pPr>
            <w:r>
              <w:rPr>
                <w:rFonts w:cs="Calibri"/>
                <w:color w:val="000000"/>
                <w:sz w:val="18"/>
                <w:szCs w:val="18"/>
                <w:lang w:val="en"/>
              </w:rPr>
              <w:t xml:space="preserve">c) dem. </w:t>
            </w:r>
            <w:r w:rsidR="00AB0078">
              <w:rPr>
                <w:rFonts w:cs="Calibri"/>
                <w:color w:val="000000"/>
                <w:sz w:val="18"/>
                <w:szCs w:val="18"/>
                <w:lang w:val="en"/>
              </w:rPr>
              <w:t>C</w:t>
            </w:r>
            <w:r>
              <w:rPr>
                <w:rFonts w:cs="Calibri"/>
                <w:color w:val="000000"/>
                <w:sz w:val="18"/>
                <w:szCs w:val="18"/>
                <w:lang w:val="en"/>
              </w:rPr>
              <w:t>omprehension</w:t>
            </w:r>
          </w:p>
        </w:tc>
        <w:tc>
          <w:tcPr>
            <w:tcW w:w="971" w:type="pct"/>
          </w:tcPr>
          <w:p w14:paraId="7B473678" w14:textId="77777777" w:rsidR="00F066FA" w:rsidRDefault="00F066FA" w:rsidP="00F066FA">
            <w:pPr>
              <w:jc w:val="center"/>
              <w:rPr>
                <w:rFonts w:cs="Calibri"/>
                <w:color w:val="000000"/>
                <w:sz w:val="18"/>
                <w:szCs w:val="18"/>
                <w:lang w:val="en"/>
              </w:rPr>
            </w:pPr>
            <w:r>
              <w:rPr>
                <w:rFonts w:cs="Calibri"/>
                <w:color w:val="000000"/>
                <w:sz w:val="18"/>
                <w:szCs w:val="18"/>
                <w:lang w:val="en"/>
              </w:rPr>
              <w:t>42%</w:t>
            </w:r>
          </w:p>
          <w:p w14:paraId="76019200" w14:textId="77777777" w:rsidR="00F066FA" w:rsidRDefault="00F066FA" w:rsidP="00F066FA">
            <w:pPr>
              <w:jc w:val="center"/>
              <w:rPr>
                <w:rFonts w:cs="Calibri"/>
                <w:color w:val="000000"/>
                <w:sz w:val="18"/>
                <w:szCs w:val="18"/>
                <w:lang w:val="en"/>
              </w:rPr>
            </w:pPr>
          </w:p>
          <w:p w14:paraId="354B064F" w14:textId="77777777" w:rsidR="00F066FA" w:rsidRDefault="00F066FA" w:rsidP="00F066FA">
            <w:pPr>
              <w:jc w:val="center"/>
              <w:rPr>
                <w:rFonts w:cs="Calibri"/>
                <w:color w:val="000000"/>
                <w:sz w:val="18"/>
                <w:szCs w:val="18"/>
                <w:lang w:val="en"/>
              </w:rPr>
            </w:pPr>
          </w:p>
          <w:p w14:paraId="1A3DC55D" w14:textId="77777777" w:rsidR="00F066FA" w:rsidRDefault="00F066FA" w:rsidP="00F066FA">
            <w:pPr>
              <w:jc w:val="center"/>
              <w:rPr>
                <w:rFonts w:cs="Calibri"/>
                <w:color w:val="000000"/>
                <w:sz w:val="18"/>
                <w:szCs w:val="18"/>
                <w:lang w:val="en"/>
              </w:rPr>
            </w:pPr>
            <w:r>
              <w:rPr>
                <w:rFonts w:cs="Calibri"/>
                <w:color w:val="000000"/>
                <w:sz w:val="18"/>
                <w:szCs w:val="18"/>
                <w:lang w:val="en"/>
              </w:rPr>
              <w:t>45%</w:t>
            </w:r>
          </w:p>
        </w:tc>
        <w:tc>
          <w:tcPr>
            <w:tcW w:w="649" w:type="pct"/>
          </w:tcPr>
          <w:p w14:paraId="4EC95142" w14:textId="77777777" w:rsidR="00F066FA" w:rsidRDefault="00F066FA" w:rsidP="00F066FA">
            <w:pPr>
              <w:jc w:val="center"/>
              <w:rPr>
                <w:rFonts w:cs="Calibri"/>
                <w:color w:val="000000"/>
                <w:sz w:val="18"/>
                <w:szCs w:val="18"/>
                <w:lang w:val="en"/>
              </w:rPr>
            </w:pPr>
            <w:r>
              <w:rPr>
                <w:rFonts w:cs="Calibri"/>
                <w:color w:val="000000"/>
                <w:sz w:val="18"/>
                <w:szCs w:val="18"/>
                <w:lang w:val="en"/>
              </w:rPr>
              <w:t>3.23 (1.36)</w:t>
            </w:r>
          </w:p>
          <w:p w14:paraId="1C3F2DF7" w14:textId="77777777" w:rsidR="00F066FA" w:rsidRDefault="00F066FA" w:rsidP="00F066FA">
            <w:pPr>
              <w:jc w:val="center"/>
              <w:rPr>
                <w:rFonts w:cs="Calibri"/>
                <w:color w:val="000000"/>
                <w:sz w:val="18"/>
                <w:szCs w:val="18"/>
                <w:lang w:val="en"/>
              </w:rPr>
            </w:pPr>
          </w:p>
          <w:p w14:paraId="3ED3202B" w14:textId="77777777" w:rsidR="00F066FA" w:rsidRDefault="00F066FA" w:rsidP="00F066FA">
            <w:pPr>
              <w:jc w:val="center"/>
              <w:rPr>
                <w:rFonts w:cs="Calibri"/>
                <w:color w:val="000000"/>
                <w:sz w:val="18"/>
                <w:szCs w:val="18"/>
                <w:lang w:val="en"/>
              </w:rPr>
            </w:pPr>
          </w:p>
          <w:p w14:paraId="4485D761" w14:textId="77777777" w:rsidR="00F066FA" w:rsidRPr="0091043B" w:rsidRDefault="00F066FA" w:rsidP="00F066FA">
            <w:pPr>
              <w:jc w:val="center"/>
              <w:rPr>
                <w:rFonts w:cs="Calibri"/>
                <w:color w:val="000000"/>
                <w:sz w:val="18"/>
                <w:szCs w:val="18"/>
                <w:lang w:val="en"/>
              </w:rPr>
            </w:pPr>
            <w:r>
              <w:rPr>
                <w:rFonts w:cs="Calibri"/>
                <w:color w:val="000000"/>
                <w:sz w:val="18"/>
                <w:szCs w:val="18"/>
                <w:lang w:val="en"/>
              </w:rPr>
              <w:t>N/A</w:t>
            </w:r>
          </w:p>
        </w:tc>
        <w:tc>
          <w:tcPr>
            <w:tcW w:w="695" w:type="pct"/>
          </w:tcPr>
          <w:p w14:paraId="5DA48232" w14:textId="77777777" w:rsidR="00F066FA" w:rsidRDefault="00F066FA" w:rsidP="00F066FA">
            <w:pPr>
              <w:jc w:val="center"/>
              <w:rPr>
                <w:rFonts w:cs="Calibri"/>
                <w:color w:val="000000"/>
                <w:sz w:val="18"/>
                <w:szCs w:val="18"/>
                <w:lang w:val="en"/>
              </w:rPr>
            </w:pPr>
            <w:r>
              <w:rPr>
                <w:rFonts w:cs="Calibri"/>
                <w:color w:val="000000"/>
                <w:sz w:val="18"/>
                <w:szCs w:val="18"/>
                <w:lang w:val="en"/>
              </w:rPr>
              <w:t>3.11</w:t>
            </w:r>
          </w:p>
        </w:tc>
        <w:tc>
          <w:tcPr>
            <w:tcW w:w="599" w:type="pct"/>
          </w:tcPr>
          <w:p w14:paraId="0B23AFD4" w14:textId="77777777" w:rsidR="00F066FA" w:rsidRDefault="00F066FA" w:rsidP="00F066FA">
            <w:pPr>
              <w:jc w:val="center"/>
              <w:rPr>
                <w:rFonts w:cs="Calibri"/>
                <w:color w:val="000000"/>
                <w:sz w:val="18"/>
                <w:szCs w:val="18"/>
                <w:lang w:val="en"/>
              </w:rPr>
            </w:pPr>
            <w:r>
              <w:rPr>
                <w:rFonts w:cs="Calibri"/>
                <w:color w:val="000000"/>
                <w:sz w:val="18"/>
                <w:szCs w:val="18"/>
                <w:lang w:val="en"/>
              </w:rPr>
              <w:t>3.23</w:t>
            </w:r>
          </w:p>
        </w:tc>
      </w:tr>
      <w:tr w:rsidR="00F066FA" w:rsidRPr="008B0C16" w14:paraId="77C4DC87" w14:textId="77777777" w:rsidTr="008300E9">
        <w:tc>
          <w:tcPr>
            <w:tcW w:w="743" w:type="pct"/>
          </w:tcPr>
          <w:p w14:paraId="3CC48D25" w14:textId="77777777" w:rsidR="00F066FA" w:rsidRDefault="00F066FA" w:rsidP="00F066FA">
            <w:pPr>
              <w:rPr>
                <w:rFonts w:ascii="Calibri" w:eastAsia="Calibri" w:hAnsi="Calibri"/>
                <w:sz w:val="20"/>
                <w:szCs w:val="20"/>
              </w:rPr>
            </w:pPr>
            <w:r>
              <w:rPr>
                <w:rFonts w:ascii="Calibri" w:eastAsia="Calibri" w:hAnsi="Calibri"/>
                <w:sz w:val="20"/>
                <w:szCs w:val="20"/>
              </w:rPr>
              <w:t>CSC4500 project</w:t>
            </w:r>
          </w:p>
        </w:tc>
        <w:tc>
          <w:tcPr>
            <w:tcW w:w="788" w:type="pct"/>
          </w:tcPr>
          <w:p w14:paraId="5B678E65" w14:textId="77777777" w:rsidR="00F066FA" w:rsidRDefault="00F066FA" w:rsidP="00F066FA">
            <w:pPr>
              <w:rPr>
                <w:rFonts w:ascii="Calibri" w:eastAsia="Calibri" w:hAnsi="Calibri"/>
                <w:sz w:val="20"/>
                <w:szCs w:val="20"/>
              </w:rPr>
            </w:pPr>
            <w:r>
              <w:rPr>
                <w:rFonts w:ascii="Calibri" w:eastAsia="Calibri" w:hAnsi="Calibri"/>
                <w:sz w:val="20"/>
                <w:szCs w:val="20"/>
              </w:rPr>
              <w:t>Fall 2019</w:t>
            </w:r>
          </w:p>
        </w:tc>
        <w:tc>
          <w:tcPr>
            <w:tcW w:w="556" w:type="pct"/>
          </w:tcPr>
          <w:p w14:paraId="2ECE9D3F" w14:textId="77777777" w:rsidR="00F066FA" w:rsidRDefault="00F066FA" w:rsidP="00F066FA">
            <w:pPr>
              <w:jc w:val="center"/>
              <w:rPr>
                <w:rFonts w:cs="Calibri"/>
                <w:color w:val="000000"/>
                <w:sz w:val="18"/>
                <w:szCs w:val="18"/>
                <w:lang w:val="en"/>
              </w:rPr>
            </w:pPr>
            <w:r>
              <w:rPr>
                <w:rFonts w:cs="Calibri"/>
                <w:color w:val="000000"/>
                <w:sz w:val="18"/>
                <w:szCs w:val="18"/>
                <w:lang w:val="en"/>
              </w:rPr>
              <w:t>g)</w:t>
            </w:r>
          </w:p>
        </w:tc>
        <w:tc>
          <w:tcPr>
            <w:tcW w:w="971" w:type="pct"/>
          </w:tcPr>
          <w:p w14:paraId="47734A96" w14:textId="77777777" w:rsidR="00F066FA" w:rsidRDefault="00F066FA" w:rsidP="00F066FA">
            <w:pPr>
              <w:jc w:val="center"/>
              <w:rPr>
                <w:rFonts w:cs="Calibri"/>
                <w:color w:val="000000"/>
                <w:sz w:val="18"/>
                <w:szCs w:val="18"/>
                <w:lang w:val="en"/>
              </w:rPr>
            </w:pPr>
            <w:r>
              <w:rPr>
                <w:rFonts w:cs="Calibri"/>
                <w:color w:val="000000"/>
                <w:sz w:val="18"/>
                <w:szCs w:val="18"/>
                <w:lang w:val="en"/>
              </w:rPr>
              <w:t>70</w:t>
            </w:r>
          </w:p>
        </w:tc>
        <w:tc>
          <w:tcPr>
            <w:tcW w:w="649" w:type="pct"/>
          </w:tcPr>
          <w:p w14:paraId="2D012805" w14:textId="77777777" w:rsidR="00F066FA" w:rsidRDefault="00F066FA" w:rsidP="00F066FA">
            <w:pPr>
              <w:jc w:val="center"/>
              <w:rPr>
                <w:rFonts w:cs="Calibri"/>
                <w:color w:val="000000"/>
                <w:sz w:val="18"/>
                <w:szCs w:val="18"/>
                <w:lang w:val="en"/>
              </w:rPr>
            </w:pPr>
            <w:r>
              <w:rPr>
                <w:rFonts w:cs="Calibri"/>
                <w:color w:val="000000"/>
                <w:sz w:val="18"/>
                <w:szCs w:val="18"/>
                <w:lang w:val="en"/>
              </w:rPr>
              <w:t>3.1 (0.86)</w:t>
            </w:r>
          </w:p>
        </w:tc>
        <w:tc>
          <w:tcPr>
            <w:tcW w:w="695" w:type="pct"/>
          </w:tcPr>
          <w:p w14:paraId="20692541" w14:textId="77777777" w:rsidR="00F066FA" w:rsidRDefault="00F066FA" w:rsidP="00F066FA">
            <w:pPr>
              <w:jc w:val="center"/>
              <w:rPr>
                <w:rFonts w:cs="Calibri"/>
                <w:color w:val="000000"/>
                <w:sz w:val="18"/>
                <w:szCs w:val="18"/>
                <w:lang w:val="en"/>
              </w:rPr>
            </w:pPr>
            <w:r>
              <w:rPr>
                <w:rFonts w:cs="Calibri"/>
                <w:color w:val="000000"/>
                <w:sz w:val="18"/>
                <w:szCs w:val="18"/>
                <w:lang w:val="en"/>
              </w:rPr>
              <w:t>2.94</w:t>
            </w:r>
          </w:p>
        </w:tc>
        <w:tc>
          <w:tcPr>
            <w:tcW w:w="599" w:type="pct"/>
          </w:tcPr>
          <w:p w14:paraId="7CC6F57E" w14:textId="77777777" w:rsidR="00F066FA" w:rsidRDefault="00F066FA" w:rsidP="00F066FA">
            <w:pPr>
              <w:jc w:val="center"/>
              <w:rPr>
                <w:rFonts w:cs="Calibri"/>
                <w:color w:val="000000"/>
                <w:sz w:val="18"/>
                <w:szCs w:val="18"/>
                <w:lang w:val="en"/>
              </w:rPr>
            </w:pPr>
            <w:r>
              <w:rPr>
                <w:rFonts w:cs="Calibri"/>
                <w:color w:val="000000"/>
                <w:sz w:val="18"/>
                <w:szCs w:val="18"/>
                <w:lang w:val="en"/>
              </w:rPr>
              <w:t>3.04</w:t>
            </w:r>
          </w:p>
        </w:tc>
      </w:tr>
      <w:tr w:rsidR="00F066FA" w:rsidRPr="008B0C16" w14:paraId="2639AE1E" w14:textId="77777777" w:rsidTr="008300E9">
        <w:tc>
          <w:tcPr>
            <w:tcW w:w="743" w:type="pct"/>
          </w:tcPr>
          <w:p w14:paraId="564D2DB0" w14:textId="77777777" w:rsidR="00F066FA" w:rsidRDefault="00F066FA" w:rsidP="00F066FA">
            <w:pPr>
              <w:rPr>
                <w:rFonts w:ascii="Calibri" w:eastAsia="Calibri" w:hAnsi="Calibri"/>
                <w:sz w:val="20"/>
                <w:szCs w:val="20"/>
              </w:rPr>
            </w:pPr>
            <w:r>
              <w:rPr>
                <w:rFonts w:ascii="Calibri" w:eastAsia="Calibri" w:hAnsi="Calibri"/>
                <w:sz w:val="20"/>
                <w:szCs w:val="20"/>
              </w:rPr>
              <w:lastRenderedPageBreak/>
              <w:t>CSC4990 capstone project</w:t>
            </w:r>
          </w:p>
        </w:tc>
        <w:tc>
          <w:tcPr>
            <w:tcW w:w="788" w:type="pct"/>
          </w:tcPr>
          <w:p w14:paraId="69DEA282" w14:textId="77777777" w:rsidR="00F066FA" w:rsidRDefault="00F066FA" w:rsidP="00F066FA">
            <w:pPr>
              <w:rPr>
                <w:rFonts w:ascii="Calibri" w:eastAsia="Calibri" w:hAnsi="Calibri"/>
                <w:sz w:val="20"/>
                <w:szCs w:val="20"/>
              </w:rPr>
            </w:pPr>
            <w:r>
              <w:rPr>
                <w:rFonts w:ascii="Calibri" w:eastAsia="Calibri" w:hAnsi="Calibri"/>
                <w:sz w:val="20"/>
                <w:szCs w:val="20"/>
              </w:rPr>
              <w:t>Spring 2020</w:t>
            </w:r>
          </w:p>
        </w:tc>
        <w:tc>
          <w:tcPr>
            <w:tcW w:w="556" w:type="pct"/>
          </w:tcPr>
          <w:p w14:paraId="1D0D52CF" w14:textId="77777777" w:rsidR="00F066FA" w:rsidRDefault="00F066FA" w:rsidP="00F066FA">
            <w:pPr>
              <w:jc w:val="center"/>
              <w:rPr>
                <w:rFonts w:cs="Calibri"/>
                <w:color w:val="000000"/>
                <w:sz w:val="18"/>
                <w:szCs w:val="18"/>
                <w:lang w:val="en"/>
              </w:rPr>
            </w:pPr>
            <w:r>
              <w:rPr>
                <w:rFonts w:cs="Calibri"/>
                <w:color w:val="000000"/>
                <w:sz w:val="18"/>
                <w:szCs w:val="18"/>
                <w:lang w:val="en"/>
              </w:rPr>
              <w:t>k)</w:t>
            </w:r>
          </w:p>
        </w:tc>
        <w:tc>
          <w:tcPr>
            <w:tcW w:w="971" w:type="pct"/>
          </w:tcPr>
          <w:p w14:paraId="232E9329" w14:textId="77777777" w:rsidR="00F066FA" w:rsidRDefault="00F066FA" w:rsidP="00F066FA">
            <w:pPr>
              <w:jc w:val="center"/>
              <w:rPr>
                <w:rFonts w:cs="Calibri"/>
                <w:color w:val="000000"/>
                <w:sz w:val="18"/>
                <w:szCs w:val="18"/>
                <w:lang w:val="en"/>
              </w:rPr>
            </w:pPr>
            <w:r>
              <w:rPr>
                <w:rFonts w:cs="Calibri"/>
                <w:color w:val="000000"/>
                <w:sz w:val="18"/>
                <w:szCs w:val="18"/>
                <w:lang w:val="en"/>
              </w:rPr>
              <w:t>100</w:t>
            </w:r>
          </w:p>
        </w:tc>
        <w:tc>
          <w:tcPr>
            <w:tcW w:w="649" w:type="pct"/>
          </w:tcPr>
          <w:p w14:paraId="4CD05C11" w14:textId="77777777" w:rsidR="00F066FA" w:rsidRDefault="00F066FA" w:rsidP="00F066FA">
            <w:pPr>
              <w:jc w:val="center"/>
              <w:rPr>
                <w:rFonts w:cs="Calibri"/>
                <w:color w:val="000000"/>
                <w:sz w:val="18"/>
                <w:szCs w:val="18"/>
                <w:lang w:val="en"/>
              </w:rPr>
            </w:pPr>
            <w:r>
              <w:rPr>
                <w:rFonts w:cs="Calibri"/>
                <w:color w:val="000000"/>
                <w:sz w:val="18"/>
                <w:szCs w:val="18"/>
                <w:lang w:val="en"/>
              </w:rPr>
              <w:t>3.6 (0.55)</w:t>
            </w:r>
          </w:p>
        </w:tc>
        <w:tc>
          <w:tcPr>
            <w:tcW w:w="695" w:type="pct"/>
          </w:tcPr>
          <w:p w14:paraId="7068DFA6" w14:textId="77777777" w:rsidR="00F066FA" w:rsidRDefault="00F066FA" w:rsidP="00F066FA">
            <w:pPr>
              <w:jc w:val="center"/>
              <w:rPr>
                <w:rFonts w:cs="Calibri"/>
                <w:color w:val="000000"/>
                <w:sz w:val="18"/>
                <w:szCs w:val="18"/>
                <w:lang w:val="en"/>
              </w:rPr>
            </w:pPr>
            <w:r>
              <w:rPr>
                <w:rFonts w:cs="Calibri"/>
                <w:color w:val="000000"/>
                <w:sz w:val="18"/>
                <w:szCs w:val="18"/>
                <w:lang w:val="en"/>
              </w:rPr>
              <w:t>2.89</w:t>
            </w:r>
          </w:p>
        </w:tc>
        <w:tc>
          <w:tcPr>
            <w:tcW w:w="599" w:type="pct"/>
          </w:tcPr>
          <w:p w14:paraId="0258DD97" w14:textId="77777777" w:rsidR="00F066FA" w:rsidRDefault="00F066FA" w:rsidP="00F066FA">
            <w:pPr>
              <w:jc w:val="center"/>
              <w:rPr>
                <w:rFonts w:cs="Calibri"/>
                <w:color w:val="000000"/>
                <w:sz w:val="18"/>
                <w:szCs w:val="18"/>
                <w:lang w:val="en"/>
              </w:rPr>
            </w:pPr>
            <w:r>
              <w:rPr>
                <w:rFonts w:cs="Calibri"/>
                <w:color w:val="000000"/>
                <w:sz w:val="18"/>
                <w:szCs w:val="18"/>
                <w:lang w:val="en"/>
              </w:rPr>
              <w:t>3.27</w:t>
            </w:r>
          </w:p>
        </w:tc>
      </w:tr>
    </w:tbl>
    <w:p w14:paraId="5A2C67C6" w14:textId="51F13569" w:rsidR="00BE6920" w:rsidRDefault="00F066FA" w:rsidP="00BE6920">
      <w:pPr>
        <w:pStyle w:val="BodyTextIndent"/>
      </w:pPr>
      <w:r>
        <w:t xml:space="preserve"> </w:t>
      </w:r>
    </w:p>
    <w:p w14:paraId="684E4935" w14:textId="6E5BC00F" w:rsidR="00524550" w:rsidRPr="00524550" w:rsidRDefault="00524550" w:rsidP="00524550">
      <w:pPr>
        <w:contextualSpacing/>
        <w:rPr>
          <w:b/>
        </w:rPr>
      </w:pPr>
      <w:r w:rsidRPr="00524550">
        <w:rPr>
          <w:b/>
        </w:rPr>
        <w:t>PO</w:t>
      </w:r>
      <w:r>
        <w:rPr>
          <w:b/>
        </w:rPr>
        <w:t xml:space="preserve"> #3</w:t>
      </w:r>
      <w:r w:rsidRPr="00524550">
        <w:rPr>
          <w:b/>
        </w:rPr>
        <w:t xml:space="preserve"> Analysis </w:t>
      </w:r>
    </w:p>
    <w:p w14:paraId="267B09AA" w14:textId="77777777" w:rsidR="006E78A2" w:rsidRPr="006E78A2" w:rsidRDefault="006E78A2" w:rsidP="006E78A2">
      <w:pPr>
        <w:contextualSpacing/>
        <w:rPr>
          <w:bCs/>
        </w:rPr>
      </w:pPr>
      <w:r w:rsidRPr="006E78A2">
        <w:rPr>
          <w:bCs/>
        </w:rPr>
        <w:t>Benchmarks are met for indicators (b) and (k) and are close to being met for indicator (g).  The use of test questions for indicator (c) has exposed a weakness in that area.</w:t>
      </w:r>
    </w:p>
    <w:p w14:paraId="592E967F" w14:textId="0787F54B" w:rsidR="006E78A2" w:rsidRPr="00744547" w:rsidRDefault="006E78A2" w:rsidP="006E78A2">
      <w:pPr>
        <w:rPr>
          <w:iCs/>
        </w:rPr>
      </w:pPr>
      <w:r w:rsidRPr="00744547">
        <w:rPr>
          <w:iCs/>
        </w:rPr>
        <w:t>Assessment for indicator (k) should be redesigned to collect data in an individual rather than group basis. Serious time should be put into addressing the weakness in indicator (c).</w:t>
      </w:r>
    </w:p>
    <w:p w14:paraId="7F73ED75" w14:textId="362FE770" w:rsidR="00BE6920" w:rsidRDefault="00BE6920" w:rsidP="00BE6920">
      <w:pPr>
        <w:pStyle w:val="BodyTextIndent"/>
      </w:pPr>
    </w:p>
    <w:p w14:paraId="66CE959E" w14:textId="1E4EB7C0" w:rsidR="00A44E13" w:rsidRDefault="00A44E13" w:rsidP="00BE6920">
      <w:pPr>
        <w:pStyle w:val="BodyTextIndent"/>
      </w:pPr>
    </w:p>
    <w:p w14:paraId="153E4D23" w14:textId="77777777" w:rsidR="00A44E13" w:rsidRDefault="00A44E13" w:rsidP="00A44E13">
      <w:pPr>
        <w:rPr>
          <w:b/>
        </w:rPr>
      </w:pPr>
      <w:bookmarkStart w:id="0" w:name="_Hlk52202660"/>
      <w:r>
        <w:rPr>
          <w:b/>
        </w:rPr>
        <w:t xml:space="preserve">PROGRAM </w:t>
      </w:r>
      <w:r w:rsidRPr="008B0C16">
        <w:rPr>
          <w:b/>
        </w:rPr>
        <w:t xml:space="preserve">OUTCOME </w:t>
      </w:r>
      <w:r>
        <w:rPr>
          <w:b/>
        </w:rPr>
        <w:t>2 -</w:t>
      </w:r>
      <w:r w:rsidRPr="00E718D7">
        <w:rPr>
          <w:rFonts w:cs="Calibri"/>
          <w:color w:val="000000"/>
          <w:sz w:val="18"/>
          <w:szCs w:val="18"/>
          <w:lang w:val="en"/>
        </w:rPr>
        <w:t xml:space="preserve"> </w:t>
      </w:r>
      <w:r w:rsidRPr="00E718D7">
        <w:rPr>
          <w:rFonts w:cs="Calibri"/>
          <w:b/>
          <w:bCs/>
          <w:color w:val="000000"/>
          <w:lang w:val="en"/>
        </w:rPr>
        <w:t>Team-work and communication</w:t>
      </w:r>
    </w:p>
    <w:tbl>
      <w:tblPr>
        <w:tblStyle w:val="TableGrid"/>
        <w:tblW w:w="12235" w:type="dxa"/>
        <w:tblLook w:val="04A0" w:firstRow="1" w:lastRow="0" w:firstColumn="1" w:lastColumn="0" w:noHBand="0" w:noVBand="1"/>
      </w:tblPr>
      <w:tblGrid>
        <w:gridCol w:w="1983"/>
        <w:gridCol w:w="3327"/>
        <w:gridCol w:w="6925"/>
      </w:tblGrid>
      <w:tr w:rsidR="00A44E13" w14:paraId="317BA07E" w14:textId="77777777" w:rsidTr="00FC4D01">
        <w:tc>
          <w:tcPr>
            <w:tcW w:w="1983" w:type="dxa"/>
          </w:tcPr>
          <w:p w14:paraId="122206C4" w14:textId="77777777" w:rsidR="00A44E13" w:rsidRPr="0030703F" w:rsidRDefault="00A44E13" w:rsidP="00FC4D01">
            <w:pPr>
              <w:rPr>
                <w:rFonts w:cs="Calibri"/>
                <w:color w:val="000000"/>
                <w:sz w:val="18"/>
                <w:szCs w:val="18"/>
                <w:lang w:val="en"/>
              </w:rPr>
            </w:pPr>
            <w:r>
              <w:rPr>
                <w:rFonts w:cs="Calibri"/>
                <w:color w:val="000000"/>
                <w:sz w:val="18"/>
                <w:szCs w:val="18"/>
                <w:lang w:val="en"/>
              </w:rPr>
              <w:t>Team-work and communication</w:t>
            </w:r>
          </w:p>
        </w:tc>
        <w:tc>
          <w:tcPr>
            <w:tcW w:w="3327" w:type="dxa"/>
          </w:tcPr>
          <w:p w14:paraId="3E6A58E2" w14:textId="77777777" w:rsidR="00A44E13" w:rsidRPr="0030703F" w:rsidRDefault="00A44E13" w:rsidP="00FC4D01">
            <w:pPr>
              <w:rPr>
                <w:rFonts w:cs="Calibri"/>
                <w:color w:val="000000"/>
                <w:sz w:val="18"/>
                <w:szCs w:val="18"/>
                <w:lang w:val="en"/>
              </w:rPr>
            </w:pPr>
            <w:r w:rsidRPr="0030703F">
              <w:rPr>
                <w:color w:val="000000"/>
                <w:sz w:val="18"/>
                <w:szCs w:val="18"/>
              </w:rPr>
              <w:t>PO2: Communicate and collaborate effectively when interacting with other individuals or serving on teams</w:t>
            </w:r>
          </w:p>
        </w:tc>
        <w:tc>
          <w:tcPr>
            <w:tcW w:w="6925" w:type="dxa"/>
          </w:tcPr>
          <w:p w14:paraId="10E09B1D" w14:textId="77777777" w:rsidR="00A44E13" w:rsidRDefault="00A44E13" w:rsidP="00FC4D01">
            <w:pPr>
              <w:rPr>
                <w:rFonts w:cs="Calibri"/>
                <w:color w:val="000000"/>
                <w:sz w:val="18"/>
                <w:szCs w:val="18"/>
                <w:lang w:val="en"/>
              </w:rPr>
            </w:pPr>
            <w:r w:rsidRPr="0030703F">
              <w:rPr>
                <w:rFonts w:cs="Calibri"/>
                <w:color w:val="000000"/>
                <w:sz w:val="18"/>
                <w:szCs w:val="18"/>
                <w:lang w:val="en"/>
              </w:rPr>
              <w:t>(d) An ability to function effectively on teams to accomplish a common goal</w:t>
            </w:r>
            <w:r>
              <w:rPr>
                <w:rFonts w:cs="Calibri"/>
                <w:color w:val="000000"/>
                <w:sz w:val="18"/>
                <w:szCs w:val="18"/>
                <w:lang w:val="en"/>
              </w:rPr>
              <w:t>.</w:t>
            </w:r>
          </w:p>
          <w:p w14:paraId="13AB662E" w14:textId="77777777" w:rsidR="00A44E13" w:rsidRDefault="00A44E13" w:rsidP="00FC4D01">
            <w:pPr>
              <w:rPr>
                <w:b/>
                <w:bCs/>
                <w:color w:val="000000"/>
                <w:sz w:val="18"/>
                <w:szCs w:val="18"/>
              </w:rPr>
            </w:pPr>
            <w:r>
              <w:rPr>
                <w:rFonts w:cs="Calibri"/>
                <w:color w:val="000000"/>
                <w:sz w:val="18"/>
                <w:szCs w:val="18"/>
                <w:lang w:val="en"/>
              </w:rPr>
              <w:t xml:space="preserve"> </w:t>
            </w:r>
            <w:r w:rsidRPr="0030703F">
              <w:rPr>
                <w:rFonts w:cs="Calibri"/>
                <w:color w:val="000000"/>
                <w:sz w:val="18"/>
                <w:szCs w:val="18"/>
                <w:lang w:val="en"/>
              </w:rPr>
              <w:t>(f) An ability to communicate effectively with a range of audiences</w:t>
            </w:r>
          </w:p>
        </w:tc>
      </w:tr>
      <w:bookmarkEnd w:id="0"/>
    </w:tbl>
    <w:p w14:paraId="6EC8DAF0" w14:textId="77777777" w:rsidR="00A44E13" w:rsidRDefault="00A44E13" w:rsidP="00A44E13">
      <w:pPr>
        <w:pStyle w:val="NoSpacing"/>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1739"/>
        <w:gridCol w:w="1186"/>
        <w:gridCol w:w="1116"/>
        <w:gridCol w:w="1352"/>
        <w:gridCol w:w="1427"/>
        <w:gridCol w:w="1427"/>
      </w:tblGrid>
      <w:tr w:rsidR="00A44E13" w:rsidRPr="008B0C16" w14:paraId="4D4229F9" w14:textId="77777777" w:rsidTr="006E78A2">
        <w:tc>
          <w:tcPr>
            <w:tcW w:w="590" w:type="pct"/>
          </w:tcPr>
          <w:p w14:paraId="2A8408DF" w14:textId="77777777" w:rsidR="00A44E13" w:rsidRPr="008B0C16" w:rsidRDefault="00A44E13" w:rsidP="00FC4D01">
            <w:pPr>
              <w:jc w:val="center"/>
              <w:rPr>
                <w:b/>
                <w:sz w:val="20"/>
                <w:szCs w:val="20"/>
              </w:rPr>
            </w:pPr>
            <w:r>
              <w:rPr>
                <w:b/>
                <w:sz w:val="20"/>
                <w:szCs w:val="20"/>
              </w:rPr>
              <w:t>What data sources were used</w:t>
            </w:r>
          </w:p>
        </w:tc>
        <w:tc>
          <w:tcPr>
            <w:tcW w:w="930" w:type="pct"/>
          </w:tcPr>
          <w:p w14:paraId="26552B34" w14:textId="77777777" w:rsidR="00A44E13" w:rsidRPr="008B0C16" w:rsidRDefault="00A44E13" w:rsidP="00FC4D01">
            <w:pPr>
              <w:jc w:val="center"/>
              <w:rPr>
                <w:b/>
                <w:sz w:val="20"/>
                <w:szCs w:val="20"/>
              </w:rPr>
            </w:pPr>
            <w:r>
              <w:rPr>
                <w:b/>
                <w:sz w:val="20"/>
                <w:szCs w:val="20"/>
              </w:rPr>
              <w:t>When were data collected</w:t>
            </w:r>
          </w:p>
        </w:tc>
        <w:tc>
          <w:tcPr>
            <w:tcW w:w="634" w:type="pct"/>
          </w:tcPr>
          <w:p w14:paraId="2C673BB7" w14:textId="77777777" w:rsidR="00A44E13" w:rsidRDefault="00A44E13" w:rsidP="00FC4D01">
            <w:pPr>
              <w:jc w:val="center"/>
              <w:rPr>
                <w:b/>
                <w:sz w:val="20"/>
                <w:szCs w:val="20"/>
              </w:rPr>
            </w:pPr>
            <w:r>
              <w:rPr>
                <w:b/>
                <w:sz w:val="20"/>
                <w:szCs w:val="20"/>
              </w:rPr>
              <w:t>Indicator</w:t>
            </w:r>
          </w:p>
        </w:tc>
        <w:tc>
          <w:tcPr>
            <w:tcW w:w="597" w:type="pct"/>
          </w:tcPr>
          <w:p w14:paraId="0F6A9C72" w14:textId="77777777" w:rsidR="00A44E13" w:rsidRPr="008B0C16" w:rsidRDefault="00A44E13" w:rsidP="00FC4D01">
            <w:pPr>
              <w:jc w:val="center"/>
              <w:rPr>
                <w:b/>
                <w:sz w:val="20"/>
                <w:szCs w:val="20"/>
              </w:rPr>
            </w:pPr>
            <w:r>
              <w:rPr>
                <w:b/>
                <w:sz w:val="20"/>
                <w:szCs w:val="20"/>
              </w:rPr>
              <w:t>Percent of students earning good or exemplary</w:t>
            </w:r>
          </w:p>
        </w:tc>
        <w:tc>
          <w:tcPr>
            <w:tcW w:w="723" w:type="pct"/>
          </w:tcPr>
          <w:p w14:paraId="08008767" w14:textId="77777777" w:rsidR="00A44E13" w:rsidRPr="008B0C16" w:rsidRDefault="00A44E13" w:rsidP="00FC4D01">
            <w:pPr>
              <w:jc w:val="center"/>
              <w:rPr>
                <w:b/>
                <w:sz w:val="20"/>
                <w:szCs w:val="20"/>
              </w:rPr>
            </w:pPr>
            <w:r>
              <w:rPr>
                <w:b/>
                <w:sz w:val="20"/>
                <w:szCs w:val="20"/>
              </w:rPr>
              <w:t>2019-2020 Mean (sd)</w:t>
            </w:r>
          </w:p>
        </w:tc>
        <w:tc>
          <w:tcPr>
            <w:tcW w:w="763" w:type="pct"/>
          </w:tcPr>
          <w:p w14:paraId="1757208F" w14:textId="77777777" w:rsidR="00A44E13" w:rsidRDefault="00A44E13" w:rsidP="00FC4D01">
            <w:pPr>
              <w:jc w:val="center"/>
              <w:rPr>
                <w:b/>
                <w:sz w:val="20"/>
                <w:szCs w:val="20"/>
              </w:rPr>
            </w:pPr>
            <w:r>
              <w:rPr>
                <w:b/>
                <w:sz w:val="20"/>
                <w:szCs w:val="20"/>
              </w:rPr>
              <w:t>2018-2019 Mean</w:t>
            </w:r>
          </w:p>
        </w:tc>
        <w:tc>
          <w:tcPr>
            <w:tcW w:w="763" w:type="pct"/>
          </w:tcPr>
          <w:p w14:paraId="0488D2E3" w14:textId="77777777" w:rsidR="00A44E13" w:rsidRDefault="00A44E13" w:rsidP="00FC4D01">
            <w:pPr>
              <w:jc w:val="center"/>
              <w:rPr>
                <w:b/>
                <w:sz w:val="20"/>
                <w:szCs w:val="20"/>
              </w:rPr>
            </w:pPr>
            <w:r>
              <w:rPr>
                <w:b/>
                <w:sz w:val="20"/>
                <w:szCs w:val="20"/>
              </w:rPr>
              <w:t>2017-2018</w:t>
            </w:r>
          </w:p>
          <w:p w14:paraId="100F0624" w14:textId="77777777" w:rsidR="00A44E13" w:rsidRDefault="00A44E13" w:rsidP="00FC4D01">
            <w:pPr>
              <w:jc w:val="center"/>
              <w:rPr>
                <w:b/>
                <w:sz w:val="20"/>
                <w:szCs w:val="20"/>
              </w:rPr>
            </w:pPr>
            <w:r>
              <w:rPr>
                <w:b/>
                <w:sz w:val="20"/>
                <w:szCs w:val="20"/>
              </w:rPr>
              <w:t>Mean</w:t>
            </w:r>
          </w:p>
          <w:p w14:paraId="2B6B44FB" w14:textId="77777777" w:rsidR="00A44E13" w:rsidRPr="008B0C16" w:rsidRDefault="00A44E13" w:rsidP="00FC4D01">
            <w:pPr>
              <w:jc w:val="center"/>
              <w:rPr>
                <w:b/>
                <w:sz w:val="20"/>
                <w:szCs w:val="20"/>
              </w:rPr>
            </w:pPr>
          </w:p>
        </w:tc>
      </w:tr>
      <w:tr w:rsidR="00A44E13" w:rsidRPr="008B0C16" w14:paraId="5CFB7E53" w14:textId="77777777" w:rsidTr="006E78A2">
        <w:tc>
          <w:tcPr>
            <w:tcW w:w="590" w:type="pct"/>
          </w:tcPr>
          <w:p w14:paraId="7E5118A9" w14:textId="77777777" w:rsidR="00A44E13" w:rsidRPr="008B0C16" w:rsidRDefault="00A44E13" w:rsidP="00FC4D01">
            <w:pPr>
              <w:jc w:val="center"/>
              <w:rPr>
                <w:sz w:val="20"/>
                <w:szCs w:val="20"/>
              </w:rPr>
            </w:pPr>
            <w:r>
              <w:rPr>
                <w:sz w:val="20"/>
                <w:szCs w:val="20"/>
              </w:rPr>
              <w:t>CSC4990 capstone project</w:t>
            </w:r>
          </w:p>
        </w:tc>
        <w:tc>
          <w:tcPr>
            <w:tcW w:w="930" w:type="pct"/>
          </w:tcPr>
          <w:p w14:paraId="082BF81F" w14:textId="77777777" w:rsidR="00A44E13" w:rsidRPr="008B0C16" w:rsidRDefault="00A44E13" w:rsidP="00FC4D01">
            <w:pPr>
              <w:jc w:val="center"/>
              <w:rPr>
                <w:sz w:val="20"/>
                <w:szCs w:val="20"/>
              </w:rPr>
            </w:pPr>
            <w:r>
              <w:rPr>
                <w:sz w:val="20"/>
                <w:szCs w:val="20"/>
              </w:rPr>
              <w:t>Spring 2020</w:t>
            </w:r>
          </w:p>
        </w:tc>
        <w:tc>
          <w:tcPr>
            <w:tcW w:w="634" w:type="pct"/>
          </w:tcPr>
          <w:p w14:paraId="19DA5FF5" w14:textId="77777777" w:rsidR="00A44E13" w:rsidRDefault="00A44E13" w:rsidP="00FC4D01">
            <w:pPr>
              <w:jc w:val="center"/>
              <w:rPr>
                <w:rFonts w:cs="Calibri"/>
                <w:color w:val="000000"/>
                <w:sz w:val="18"/>
                <w:szCs w:val="18"/>
                <w:lang w:val="en"/>
              </w:rPr>
            </w:pPr>
            <w:r>
              <w:rPr>
                <w:rFonts w:cs="Calibri"/>
                <w:color w:val="000000"/>
                <w:sz w:val="18"/>
                <w:szCs w:val="18"/>
                <w:lang w:val="en"/>
              </w:rPr>
              <w:t>d) Effective Teams</w:t>
            </w:r>
          </w:p>
          <w:p w14:paraId="699FF14C" w14:textId="77777777" w:rsidR="00A44E13" w:rsidRDefault="00A44E13" w:rsidP="00FC4D01">
            <w:pPr>
              <w:jc w:val="center"/>
              <w:rPr>
                <w:rFonts w:cs="Calibri"/>
                <w:color w:val="000000"/>
                <w:sz w:val="18"/>
                <w:szCs w:val="18"/>
                <w:lang w:val="en"/>
              </w:rPr>
            </w:pPr>
          </w:p>
          <w:p w14:paraId="37F8F2C3" w14:textId="77777777" w:rsidR="00A44E13" w:rsidRDefault="00A44E13" w:rsidP="00FC4D01">
            <w:pPr>
              <w:jc w:val="center"/>
              <w:rPr>
                <w:rFonts w:cs="Calibri"/>
                <w:color w:val="000000"/>
                <w:sz w:val="18"/>
                <w:szCs w:val="18"/>
                <w:lang w:val="en"/>
              </w:rPr>
            </w:pPr>
            <w:r>
              <w:rPr>
                <w:rFonts w:cs="Calibri"/>
                <w:color w:val="000000"/>
                <w:sz w:val="18"/>
                <w:szCs w:val="18"/>
                <w:lang w:val="en"/>
              </w:rPr>
              <w:t>d) Team Organization</w:t>
            </w:r>
          </w:p>
        </w:tc>
        <w:tc>
          <w:tcPr>
            <w:tcW w:w="597" w:type="pct"/>
          </w:tcPr>
          <w:p w14:paraId="6485E9DF" w14:textId="77777777" w:rsidR="00A44E13" w:rsidRDefault="00A44E13" w:rsidP="00FC4D01">
            <w:pPr>
              <w:jc w:val="center"/>
              <w:rPr>
                <w:rFonts w:cs="Calibri"/>
                <w:color w:val="000000"/>
                <w:sz w:val="18"/>
                <w:szCs w:val="18"/>
                <w:lang w:val="en"/>
              </w:rPr>
            </w:pPr>
            <w:r>
              <w:rPr>
                <w:rFonts w:cs="Calibri"/>
                <w:color w:val="000000"/>
                <w:sz w:val="18"/>
                <w:szCs w:val="18"/>
                <w:lang w:val="en"/>
              </w:rPr>
              <w:t>80%</w:t>
            </w:r>
          </w:p>
          <w:p w14:paraId="0069F159" w14:textId="77777777" w:rsidR="00A44E13" w:rsidRDefault="00A44E13" w:rsidP="00FC4D01">
            <w:pPr>
              <w:jc w:val="center"/>
              <w:rPr>
                <w:rFonts w:cs="Calibri"/>
                <w:color w:val="000000"/>
                <w:sz w:val="18"/>
                <w:szCs w:val="18"/>
                <w:lang w:val="en"/>
              </w:rPr>
            </w:pPr>
          </w:p>
          <w:p w14:paraId="7B5C94EE" w14:textId="77777777" w:rsidR="00A44E13" w:rsidRDefault="00A44E13" w:rsidP="00FC4D01">
            <w:pPr>
              <w:jc w:val="center"/>
              <w:rPr>
                <w:rFonts w:cs="Calibri"/>
                <w:color w:val="000000"/>
                <w:sz w:val="18"/>
                <w:szCs w:val="18"/>
                <w:lang w:val="en"/>
              </w:rPr>
            </w:pPr>
          </w:p>
          <w:p w14:paraId="29CA781B" w14:textId="77777777" w:rsidR="00A44E13" w:rsidRDefault="00A44E13" w:rsidP="00FC4D01">
            <w:pPr>
              <w:jc w:val="center"/>
              <w:rPr>
                <w:rFonts w:cs="Calibri"/>
                <w:color w:val="000000"/>
                <w:sz w:val="18"/>
                <w:szCs w:val="18"/>
                <w:lang w:val="en"/>
              </w:rPr>
            </w:pPr>
            <w:r>
              <w:rPr>
                <w:rFonts w:cs="Calibri"/>
                <w:color w:val="000000"/>
                <w:sz w:val="18"/>
                <w:szCs w:val="18"/>
                <w:lang w:val="en"/>
              </w:rPr>
              <w:t>80%</w:t>
            </w:r>
          </w:p>
        </w:tc>
        <w:tc>
          <w:tcPr>
            <w:tcW w:w="723" w:type="pct"/>
          </w:tcPr>
          <w:p w14:paraId="576E7F98" w14:textId="77777777" w:rsidR="00A44E13" w:rsidRDefault="00A44E13" w:rsidP="00FC4D01">
            <w:pPr>
              <w:jc w:val="center"/>
              <w:rPr>
                <w:rFonts w:cs="Calibri"/>
                <w:color w:val="000000"/>
                <w:sz w:val="18"/>
                <w:szCs w:val="18"/>
                <w:lang w:val="en"/>
              </w:rPr>
            </w:pPr>
            <w:r>
              <w:rPr>
                <w:rFonts w:cs="Calibri"/>
                <w:color w:val="000000"/>
                <w:sz w:val="18"/>
                <w:szCs w:val="18"/>
                <w:lang w:val="en"/>
              </w:rPr>
              <w:t>3.4 (0.56)</w:t>
            </w:r>
          </w:p>
          <w:p w14:paraId="4521D79D" w14:textId="77777777" w:rsidR="00A44E13" w:rsidRDefault="00A44E13" w:rsidP="00FC4D01">
            <w:pPr>
              <w:jc w:val="center"/>
              <w:rPr>
                <w:rFonts w:cs="Calibri"/>
                <w:color w:val="000000"/>
                <w:sz w:val="18"/>
                <w:szCs w:val="18"/>
                <w:lang w:val="en"/>
              </w:rPr>
            </w:pPr>
          </w:p>
          <w:p w14:paraId="3E59835E" w14:textId="77777777" w:rsidR="00A44E13" w:rsidRDefault="00A44E13" w:rsidP="00FC4D01">
            <w:pPr>
              <w:jc w:val="center"/>
              <w:rPr>
                <w:rFonts w:cs="Calibri"/>
                <w:color w:val="000000"/>
                <w:sz w:val="18"/>
                <w:szCs w:val="18"/>
                <w:lang w:val="en"/>
              </w:rPr>
            </w:pPr>
          </w:p>
          <w:p w14:paraId="0B11851E" w14:textId="77777777" w:rsidR="00A44E13" w:rsidRDefault="00A44E13" w:rsidP="00FC4D01">
            <w:pPr>
              <w:jc w:val="center"/>
              <w:rPr>
                <w:rFonts w:cs="Calibri"/>
                <w:color w:val="000000"/>
                <w:sz w:val="18"/>
                <w:szCs w:val="18"/>
                <w:lang w:val="en"/>
              </w:rPr>
            </w:pPr>
            <w:r>
              <w:rPr>
                <w:rFonts w:cs="Calibri"/>
                <w:color w:val="000000"/>
                <w:sz w:val="18"/>
                <w:szCs w:val="18"/>
                <w:lang w:val="en"/>
              </w:rPr>
              <w:t>3.4 (0.56)</w:t>
            </w:r>
          </w:p>
        </w:tc>
        <w:tc>
          <w:tcPr>
            <w:tcW w:w="763" w:type="pct"/>
          </w:tcPr>
          <w:p w14:paraId="3A2C8CD1" w14:textId="77777777" w:rsidR="00A44E13" w:rsidRDefault="00A44E13" w:rsidP="00FC4D01">
            <w:pPr>
              <w:jc w:val="center"/>
              <w:rPr>
                <w:rFonts w:cs="Calibri"/>
                <w:color w:val="000000"/>
                <w:sz w:val="18"/>
                <w:szCs w:val="18"/>
                <w:lang w:val="en"/>
              </w:rPr>
            </w:pPr>
            <w:r>
              <w:rPr>
                <w:rFonts w:cs="Calibri"/>
                <w:color w:val="000000"/>
                <w:sz w:val="18"/>
                <w:szCs w:val="18"/>
                <w:lang w:val="en"/>
              </w:rPr>
              <w:t>2.94</w:t>
            </w:r>
          </w:p>
          <w:p w14:paraId="5A22FB40" w14:textId="77777777" w:rsidR="00A44E13" w:rsidRDefault="00A44E13" w:rsidP="00FC4D01">
            <w:pPr>
              <w:jc w:val="center"/>
              <w:rPr>
                <w:rFonts w:cs="Calibri"/>
                <w:color w:val="000000"/>
                <w:sz w:val="18"/>
                <w:szCs w:val="18"/>
                <w:lang w:val="en"/>
              </w:rPr>
            </w:pPr>
          </w:p>
          <w:p w14:paraId="0B0DB17A" w14:textId="77777777" w:rsidR="00A44E13" w:rsidRDefault="00A44E13" w:rsidP="00FC4D01">
            <w:pPr>
              <w:jc w:val="center"/>
              <w:rPr>
                <w:rFonts w:cs="Calibri"/>
                <w:color w:val="000000"/>
                <w:sz w:val="18"/>
                <w:szCs w:val="18"/>
                <w:lang w:val="en"/>
              </w:rPr>
            </w:pPr>
          </w:p>
          <w:p w14:paraId="275E4607" w14:textId="77777777" w:rsidR="00A44E13" w:rsidRDefault="00A44E13" w:rsidP="00FC4D01">
            <w:pPr>
              <w:jc w:val="center"/>
              <w:rPr>
                <w:rFonts w:cs="Calibri"/>
                <w:color w:val="000000"/>
                <w:sz w:val="18"/>
                <w:szCs w:val="18"/>
                <w:lang w:val="en"/>
              </w:rPr>
            </w:pPr>
          </w:p>
        </w:tc>
        <w:tc>
          <w:tcPr>
            <w:tcW w:w="763" w:type="pct"/>
          </w:tcPr>
          <w:p w14:paraId="66B13090" w14:textId="77777777" w:rsidR="00A44E13" w:rsidRDefault="00A44E13" w:rsidP="00FC4D01">
            <w:pPr>
              <w:jc w:val="center"/>
              <w:rPr>
                <w:rFonts w:cs="Calibri"/>
                <w:color w:val="000000"/>
                <w:sz w:val="18"/>
                <w:szCs w:val="18"/>
                <w:lang w:val="en"/>
              </w:rPr>
            </w:pPr>
            <w:r>
              <w:rPr>
                <w:rFonts w:cs="Calibri"/>
                <w:color w:val="000000"/>
                <w:sz w:val="18"/>
                <w:szCs w:val="18"/>
                <w:lang w:val="en"/>
              </w:rPr>
              <w:t>3.12</w:t>
            </w:r>
          </w:p>
          <w:p w14:paraId="36A10318" w14:textId="77777777" w:rsidR="00A44E13" w:rsidRDefault="00A44E13" w:rsidP="00FC4D01">
            <w:pPr>
              <w:jc w:val="center"/>
              <w:rPr>
                <w:rFonts w:cs="Calibri"/>
                <w:color w:val="000000"/>
                <w:sz w:val="18"/>
                <w:szCs w:val="18"/>
                <w:lang w:val="en"/>
              </w:rPr>
            </w:pPr>
          </w:p>
          <w:p w14:paraId="5A007015" w14:textId="77777777" w:rsidR="00A44E13" w:rsidRDefault="00A44E13" w:rsidP="00FC4D01">
            <w:pPr>
              <w:jc w:val="center"/>
              <w:rPr>
                <w:rFonts w:cs="Calibri"/>
                <w:color w:val="000000"/>
                <w:sz w:val="18"/>
                <w:szCs w:val="18"/>
                <w:lang w:val="en"/>
              </w:rPr>
            </w:pPr>
          </w:p>
          <w:p w14:paraId="5DD8B097" w14:textId="77777777" w:rsidR="00A44E13" w:rsidRDefault="00A44E13" w:rsidP="00FC4D01">
            <w:pPr>
              <w:jc w:val="center"/>
              <w:rPr>
                <w:rFonts w:cs="Calibri"/>
                <w:color w:val="000000"/>
                <w:sz w:val="18"/>
                <w:szCs w:val="18"/>
                <w:lang w:val="en"/>
              </w:rPr>
            </w:pPr>
          </w:p>
        </w:tc>
      </w:tr>
      <w:tr w:rsidR="00A44E13" w:rsidRPr="008B0C16" w14:paraId="0D3B5496" w14:textId="77777777" w:rsidTr="006E78A2">
        <w:tc>
          <w:tcPr>
            <w:tcW w:w="590" w:type="pct"/>
          </w:tcPr>
          <w:p w14:paraId="372A1E74" w14:textId="77777777" w:rsidR="00A44E13" w:rsidRPr="008B0C16" w:rsidRDefault="00A44E13" w:rsidP="00FC4D01">
            <w:pPr>
              <w:jc w:val="center"/>
              <w:rPr>
                <w:sz w:val="20"/>
                <w:szCs w:val="20"/>
              </w:rPr>
            </w:pPr>
            <w:r>
              <w:rPr>
                <w:sz w:val="20"/>
                <w:szCs w:val="20"/>
              </w:rPr>
              <w:t>CSC4990 capstone project</w:t>
            </w:r>
          </w:p>
        </w:tc>
        <w:tc>
          <w:tcPr>
            <w:tcW w:w="930" w:type="pct"/>
          </w:tcPr>
          <w:p w14:paraId="65DF1BFC" w14:textId="77777777" w:rsidR="00A44E13" w:rsidRPr="008B0C16" w:rsidRDefault="00A44E13" w:rsidP="00FC4D01">
            <w:pPr>
              <w:jc w:val="center"/>
              <w:rPr>
                <w:sz w:val="20"/>
                <w:szCs w:val="20"/>
              </w:rPr>
            </w:pPr>
            <w:r>
              <w:rPr>
                <w:sz w:val="20"/>
                <w:szCs w:val="20"/>
              </w:rPr>
              <w:t>Spring 2020</w:t>
            </w:r>
          </w:p>
        </w:tc>
        <w:tc>
          <w:tcPr>
            <w:tcW w:w="634" w:type="pct"/>
          </w:tcPr>
          <w:p w14:paraId="3B417634" w14:textId="77777777" w:rsidR="00A44E13" w:rsidRDefault="00A44E13" w:rsidP="00FC4D01">
            <w:pPr>
              <w:jc w:val="center"/>
              <w:rPr>
                <w:rFonts w:cs="Calibri"/>
                <w:color w:val="000000"/>
                <w:sz w:val="18"/>
                <w:szCs w:val="18"/>
                <w:lang w:val="en"/>
              </w:rPr>
            </w:pPr>
            <w:r>
              <w:rPr>
                <w:rFonts w:cs="Calibri"/>
                <w:color w:val="000000"/>
                <w:sz w:val="18"/>
                <w:szCs w:val="18"/>
                <w:lang w:val="en"/>
              </w:rPr>
              <w:t xml:space="preserve">f) </w:t>
            </w:r>
            <w:r w:rsidRPr="005A3A20">
              <w:rPr>
                <w:sz w:val="18"/>
                <w:szCs w:val="18"/>
                <w:lang w:val="en"/>
              </w:rPr>
              <w:t>communicate effectively</w:t>
            </w:r>
          </w:p>
          <w:p w14:paraId="596072B2" w14:textId="77777777" w:rsidR="00A44E13" w:rsidRDefault="00A44E13" w:rsidP="00FC4D01">
            <w:pPr>
              <w:jc w:val="center"/>
              <w:rPr>
                <w:rFonts w:cs="Calibri"/>
                <w:color w:val="000000"/>
                <w:sz w:val="18"/>
                <w:szCs w:val="18"/>
                <w:lang w:val="en"/>
              </w:rPr>
            </w:pPr>
          </w:p>
          <w:p w14:paraId="641CED47" w14:textId="77777777" w:rsidR="00A44E13" w:rsidRPr="008B0C16" w:rsidRDefault="00A44E13" w:rsidP="00FC4D01">
            <w:pPr>
              <w:jc w:val="center"/>
              <w:rPr>
                <w:sz w:val="20"/>
                <w:szCs w:val="20"/>
              </w:rPr>
            </w:pPr>
            <w:r>
              <w:rPr>
                <w:rFonts w:cs="Calibri"/>
                <w:color w:val="000000"/>
                <w:sz w:val="18"/>
                <w:szCs w:val="18"/>
                <w:lang w:val="en"/>
              </w:rPr>
              <w:t>f) Subject knowledge</w:t>
            </w:r>
          </w:p>
        </w:tc>
        <w:tc>
          <w:tcPr>
            <w:tcW w:w="597" w:type="pct"/>
          </w:tcPr>
          <w:p w14:paraId="44C7BC19" w14:textId="77777777" w:rsidR="00A44E13" w:rsidRDefault="00A44E13" w:rsidP="00FC4D01">
            <w:pPr>
              <w:jc w:val="center"/>
              <w:rPr>
                <w:rFonts w:cs="Calibri"/>
                <w:color w:val="000000"/>
                <w:sz w:val="18"/>
                <w:szCs w:val="18"/>
                <w:lang w:val="en"/>
              </w:rPr>
            </w:pPr>
            <w:r>
              <w:rPr>
                <w:rFonts w:cs="Calibri"/>
                <w:color w:val="000000"/>
                <w:sz w:val="18"/>
                <w:szCs w:val="18"/>
                <w:lang w:val="en"/>
              </w:rPr>
              <w:t>100%</w:t>
            </w:r>
          </w:p>
          <w:p w14:paraId="3D87D5DC" w14:textId="77777777" w:rsidR="00A44E13" w:rsidRDefault="00A44E13" w:rsidP="00FC4D01">
            <w:pPr>
              <w:jc w:val="center"/>
              <w:rPr>
                <w:rFonts w:cs="Calibri"/>
                <w:color w:val="000000"/>
                <w:sz w:val="18"/>
                <w:szCs w:val="18"/>
                <w:lang w:val="en"/>
              </w:rPr>
            </w:pPr>
          </w:p>
          <w:p w14:paraId="1F243D67" w14:textId="77777777" w:rsidR="00A44E13" w:rsidRDefault="00A44E13" w:rsidP="00FC4D01">
            <w:pPr>
              <w:jc w:val="center"/>
              <w:rPr>
                <w:rFonts w:cs="Calibri"/>
                <w:color w:val="000000"/>
                <w:sz w:val="18"/>
                <w:szCs w:val="18"/>
                <w:lang w:val="en"/>
              </w:rPr>
            </w:pPr>
          </w:p>
          <w:p w14:paraId="4C546226" w14:textId="77777777" w:rsidR="00A44E13" w:rsidRPr="008B0C16" w:rsidRDefault="00A44E13" w:rsidP="00FC4D01">
            <w:pPr>
              <w:jc w:val="center"/>
              <w:rPr>
                <w:sz w:val="20"/>
                <w:szCs w:val="20"/>
              </w:rPr>
            </w:pPr>
            <w:r>
              <w:rPr>
                <w:rFonts w:cs="Calibri"/>
                <w:color w:val="000000"/>
                <w:sz w:val="18"/>
                <w:szCs w:val="18"/>
                <w:lang w:val="en"/>
              </w:rPr>
              <w:t>80%</w:t>
            </w:r>
          </w:p>
        </w:tc>
        <w:tc>
          <w:tcPr>
            <w:tcW w:w="723" w:type="pct"/>
          </w:tcPr>
          <w:p w14:paraId="5C461B74" w14:textId="77777777" w:rsidR="00A44E13" w:rsidRDefault="00A44E13" w:rsidP="00FC4D01">
            <w:pPr>
              <w:jc w:val="center"/>
              <w:rPr>
                <w:rFonts w:cs="Calibri"/>
                <w:color w:val="000000"/>
                <w:sz w:val="18"/>
                <w:szCs w:val="18"/>
                <w:lang w:val="en"/>
              </w:rPr>
            </w:pPr>
            <w:r>
              <w:rPr>
                <w:rFonts w:cs="Calibri"/>
                <w:color w:val="000000"/>
                <w:sz w:val="18"/>
                <w:szCs w:val="18"/>
                <w:lang w:val="en"/>
              </w:rPr>
              <w:t>3.5 (0.5)</w:t>
            </w:r>
          </w:p>
          <w:p w14:paraId="08980E35" w14:textId="77777777" w:rsidR="00A44E13" w:rsidRDefault="00A44E13" w:rsidP="00FC4D01">
            <w:pPr>
              <w:jc w:val="center"/>
              <w:rPr>
                <w:rFonts w:cs="Calibri"/>
                <w:color w:val="000000"/>
                <w:sz w:val="18"/>
                <w:szCs w:val="18"/>
                <w:lang w:val="en"/>
              </w:rPr>
            </w:pPr>
          </w:p>
          <w:p w14:paraId="4C65AB4B" w14:textId="77777777" w:rsidR="00A44E13" w:rsidRDefault="00A44E13" w:rsidP="00FC4D01">
            <w:pPr>
              <w:jc w:val="center"/>
              <w:rPr>
                <w:rFonts w:cs="Calibri"/>
                <w:color w:val="000000"/>
                <w:sz w:val="18"/>
                <w:szCs w:val="18"/>
                <w:lang w:val="en"/>
              </w:rPr>
            </w:pPr>
          </w:p>
          <w:p w14:paraId="7369443E" w14:textId="77777777" w:rsidR="00A44E13" w:rsidRPr="008B0C16" w:rsidRDefault="00A44E13" w:rsidP="00FC4D01">
            <w:pPr>
              <w:jc w:val="center"/>
              <w:rPr>
                <w:sz w:val="20"/>
                <w:szCs w:val="20"/>
              </w:rPr>
            </w:pPr>
            <w:r>
              <w:rPr>
                <w:rFonts w:cs="Calibri"/>
                <w:color w:val="000000"/>
                <w:sz w:val="18"/>
                <w:szCs w:val="18"/>
                <w:lang w:val="en"/>
              </w:rPr>
              <w:t>3.4 (0.65)</w:t>
            </w:r>
          </w:p>
        </w:tc>
        <w:tc>
          <w:tcPr>
            <w:tcW w:w="763" w:type="pct"/>
          </w:tcPr>
          <w:p w14:paraId="286C0339" w14:textId="77777777" w:rsidR="00A44E13" w:rsidRDefault="00A44E13" w:rsidP="00FC4D01">
            <w:pPr>
              <w:jc w:val="center"/>
              <w:rPr>
                <w:sz w:val="20"/>
                <w:szCs w:val="20"/>
              </w:rPr>
            </w:pPr>
          </w:p>
          <w:p w14:paraId="52C46F8F" w14:textId="77777777" w:rsidR="00A44E13" w:rsidRDefault="00A44E13" w:rsidP="00FC4D01">
            <w:pPr>
              <w:jc w:val="center"/>
              <w:rPr>
                <w:sz w:val="20"/>
                <w:szCs w:val="20"/>
              </w:rPr>
            </w:pPr>
          </w:p>
          <w:p w14:paraId="54F89039" w14:textId="77777777" w:rsidR="00A44E13" w:rsidRPr="008B0C16" w:rsidRDefault="00A44E13" w:rsidP="00FC4D01">
            <w:pPr>
              <w:jc w:val="center"/>
              <w:rPr>
                <w:sz w:val="20"/>
                <w:szCs w:val="20"/>
              </w:rPr>
            </w:pPr>
            <w:r>
              <w:rPr>
                <w:rFonts w:cs="Calibri"/>
                <w:color w:val="000000"/>
                <w:sz w:val="18"/>
                <w:szCs w:val="18"/>
                <w:lang w:val="en"/>
              </w:rPr>
              <w:t>3.22</w:t>
            </w:r>
          </w:p>
        </w:tc>
        <w:tc>
          <w:tcPr>
            <w:tcW w:w="763" w:type="pct"/>
          </w:tcPr>
          <w:p w14:paraId="5EC1BB4A" w14:textId="77777777" w:rsidR="00A44E13" w:rsidRDefault="00A44E13" w:rsidP="00FC4D01">
            <w:pPr>
              <w:jc w:val="center"/>
              <w:rPr>
                <w:sz w:val="20"/>
                <w:szCs w:val="20"/>
              </w:rPr>
            </w:pPr>
          </w:p>
          <w:p w14:paraId="493AE4E4" w14:textId="77777777" w:rsidR="00A44E13" w:rsidRDefault="00A44E13" w:rsidP="00FC4D01">
            <w:pPr>
              <w:jc w:val="center"/>
              <w:rPr>
                <w:sz w:val="20"/>
                <w:szCs w:val="20"/>
              </w:rPr>
            </w:pPr>
          </w:p>
          <w:p w14:paraId="736BE4F4" w14:textId="77777777" w:rsidR="00A44E13" w:rsidRPr="008B0C16" w:rsidRDefault="00A44E13" w:rsidP="00FC4D01">
            <w:pPr>
              <w:jc w:val="center"/>
              <w:rPr>
                <w:sz w:val="20"/>
                <w:szCs w:val="20"/>
              </w:rPr>
            </w:pPr>
            <w:r>
              <w:rPr>
                <w:rFonts w:cs="Calibri"/>
                <w:color w:val="000000"/>
                <w:sz w:val="18"/>
                <w:szCs w:val="18"/>
                <w:lang w:val="en"/>
              </w:rPr>
              <w:t>3.18</w:t>
            </w:r>
          </w:p>
        </w:tc>
      </w:tr>
    </w:tbl>
    <w:p w14:paraId="40FACDD0" w14:textId="77777777" w:rsidR="00524550" w:rsidRDefault="00524550" w:rsidP="00524550">
      <w:pPr>
        <w:contextualSpacing/>
        <w:rPr>
          <w:b/>
        </w:rPr>
      </w:pPr>
    </w:p>
    <w:p w14:paraId="09F36D20" w14:textId="483F5709" w:rsidR="00524550" w:rsidRPr="00524550" w:rsidRDefault="00524550" w:rsidP="00524550">
      <w:pPr>
        <w:contextualSpacing/>
        <w:rPr>
          <w:b/>
        </w:rPr>
      </w:pPr>
      <w:r w:rsidRPr="00524550">
        <w:rPr>
          <w:b/>
        </w:rPr>
        <w:t xml:space="preserve">PO #2 Analysis </w:t>
      </w:r>
    </w:p>
    <w:p w14:paraId="51503188" w14:textId="77777777" w:rsidR="006E78A2" w:rsidRPr="00B80235" w:rsidRDefault="006E78A2" w:rsidP="00524550">
      <w:pPr>
        <w:rPr>
          <w:b/>
        </w:rPr>
      </w:pPr>
      <w:r w:rsidRPr="00BF66DC">
        <w:rPr>
          <w:bCs/>
        </w:rPr>
        <w:t>Students are meeting all benchmarks in all indicators for this objective.</w:t>
      </w:r>
    </w:p>
    <w:p w14:paraId="33AFBBDD" w14:textId="7FD1862B" w:rsidR="0095511E" w:rsidRPr="00524550" w:rsidRDefault="006E78A2" w:rsidP="00524550">
      <w:pPr>
        <w:rPr>
          <w:bCs/>
        </w:rPr>
      </w:pPr>
      <w:r w:rsidRPr="00524550">
        <w:rPr>
          <w:bCs/>
        </w:rPr>
        <w:t>Assessment schemes should be reevaluated to assess students on an individual rather than group basis</w:t>
      </w:r>
    </w:p>
    <w:p w14:paraId="384425ED" w14:textId="2F5B5CA3" w:rsidR="00A91A16" w:rsidRDefault="00304613" w:rsidP="00304613">
      <w:pPr>
        <w:pStyle w:val="ListParagraph"/>
        <w:tabs>
          <w:tab w:val="left" w:pos="4575"/>
        </w:tabs>
        <w:rPr>
          <w:bCs/>
        </w:rPr>
      </w:pPr>
      <w:r>
        <w:rPr>
          <w:bCs/>
        </w:rPr>
        <w:tab/>
      </w:r>
    </w:p>
    <w:p w14:paraId="205D8F28" w14:textId="77777777" w:rsidR="00A91A16" w:rsidRDefault="00A91A16" w:rsidP="00A91A16">
      <w:pPr>
        <w:rPr>
          <w:rFonts w:cs="Calibri"/>
          <w:b/>
          <w:bCs/>
          <w:color w:val="000000"/>
          <w:lang w:val="en"/>
        </w:rPr>
      </w:pPr>
      <w:bookmarkStart w:id="1" w:name="_Hlk52202739"/>
      <w:r>
        <w:rPr>
          <w:b/>
        </w:rPr>
        <w:t xml:space="preserve">PROGRAM </w:t>
      </w:r>
      <w:r w:rsidRPr="008B0C16">
        <w:rPr>
          <w:b/>
        </w:rPr>
        <w:t xml:space="preserve">OUTCOME </w:t>
      </w:r>
      <w:r>
        <w:rPr>
          <w:b/>
        </w:rPr>
        <w:t xml:space="preserve">4 – Professional Development </w:t>
      </w:r>
    </w:p>
    <w:tbl>
      <w:tblPr>
        <w:tblStyle w:val="TableGrid"/>
        <w:tblW w:w="10014" w:type="dxa"/>
        <w:tblCellMar>
          <w:left w:w="115" w:type="dxa"/>
          <w:right w:w="115" w:type="dxa"/>
        </w:tblCellMar>
        <w:tblLook w:val="04A0" w:firstRow="1" w:lastRow="0" w:firstColumn="1" w:lastColumn="0" w:noHBand="0" w:noVBand="1"/>
      </w:tblPr>
      <w:tblGrid>
        <w:gridCol w:w="1469"/>
        <w:gridCol w:w="2763"/>
        <w:gridCol w:w="5782"/>
      </w:tblGrid>
      <w:tr w:rsidR="00A91A16" w:rsidRPr="0030703F" w14:paraId="77FF2544" w14:textId="77777777" w:rsidTr="00524550">
        <w:trPr>
          <w:trHeight w:val="1261"/>
        </w:trPr>
        <w:tc>
          <w:tcPr>
            <w:tcW w:w="1469" w:type="dxa"/>
          </w:tcPr>
          <w:p w14:paraId="4049AADA" w14:textId="77777777" w:rsidR="00A91A16" w:rsidRDefault="00A91A16" w:rsidP="00FC4D01">
            <w:pPr>
              <w:rPr>
                <w:rFonts w:cs="Calibri"/>
                <w:color w:val="000000"/>
                <w:sz w:val="18"/>
                <w:szCs w:val="18"/>
                <w:lang w:val="en"/>
              </w:rPr>
            </w:pPr>
            <w:r>
              <w:rPr>
                <w:rFonts w:cs="Calibri"/>
                <w:color w:val="000000"/>
                <w:sz w:val="18"/>
                <w:szCs w:val="18"/>
                <w:lang w:val="en"/>
              </w:rPr>
              <w:t>Professional development</w:t>
            </w:r>
          </w:p>
        </w:tc>
        <w:tc>
          <w:tcPr>
            <w:tcW w:w="2763" w:type="dxa"/>
          </w:tcPr>
          <w:p w14:paraId="652C454F" w14:textId="77777777" w:rsidR="00A91A16" w:rsidRDefault="00A91A16" w:rsidP="00FC4D01">
            <w:pPr>
              <w:rPr>
                <w:color w:val="000000"/>
                <w:sz w:val="18"/>
                <w:szCs w:val="18"/>
              </w:rPr>
            </w:pPr>
            <w:r>
              <w:rPr>
                <w:color w:val="000000"/>
                <w:sz w:val="18"/>
                <w:szCs w:val="18"/>
              </w:rPr>
              <w:t xml:space="preserve">PO4: </w:t>
            </w:r>
            <w:r w:rsidRPr="0030703F">
              <w:rPr>
                <w:color w:val="000000"/>
                <w:sz w:val="18"/>
                <w:szCs w:val="18"/>
              </w:rPr>
              <w:t>Understand the importance of, and practice, continuing learning to keep abreast of developments in technology, economics, and society.</w:t>
            </w:r>
          </w:p>
        </w:tc>
        <w:tc>
          <w:tcPr>
            <w:tcW w:w="5782" w:type="dxa"/>
          </w:tcPr>
          <w:p w14:paraId="6E6BD8EA" w14:textId="77777777" w:rsidR="00A91A16" w:rsidRDefault="00A91A16" w:rsidP="00FC4D01">
            <w:pPr>
              <w:rPr>
                <w:rFonts w:cs="Calibri"/>
                <w:color w:val="000000"/>
                <w:sz w:val="18"/>
                <w:szCs w:val="18"/>
                <w:lang w:val="en"/>
              </w:rPr>
            </w:pPr>
            <w:r w:rsidRPr="0030703F">
              <w:rPr>
                <w:rFonts w:cs="Calibri"/>
                <w:color w:val="000000"/>
                <w:sz w:val="18"/>
                <w:szCs w:val="18"/>
                <w:lang w:val="en"/>
              </w:rPr>
              <w:t>(e) An understanding of professional, ethical, legal, security and social issues and responsibilities</w:t>
            </w:r>
          </w:p>
          <w:p w14:paraId="3A6D7475" w14:textId="77777777" w:rsidR="00A91A16" w:rsidRDefault="00A91A16" w:rsidP="00FC4D01">
            <w:pPr>
              <w:rPr>
                <w:rFonts w:cs="Calibri"/>
                <w:color w:val="000000"/>
                <w:sz w:val="18"/>
                <w:szCs w:val="18"/>
                <w:lang w:val="en"/>
              </w:rPr>
            </w:pPr>
            <w:r w:rsidRPr="0030703F">
              <w:rPr>
                <w:rFonts w:cs="Calibri"/>
                <w:color w:val="000000"/>
                <w:sz w:val="18"/>
                <w:szCs w:val="18"/>
                <w:lang w:val="en"/>
              </w:rPr>
              <w:t>h)</w:t>
            </w:r>
            <w:r w:rsidRPr="0030703F">
              <w:rPr>
                <w:color w:val="000000"/>
                <w:sz w:val="18"/>
                <w:szCs w:val="18"/>
                <w:lang w:val="en"/>
              </w:rPr>
              <w:t> </w:t>
            </w:r>
            <w:r w:rsidRPr="0030703F">
              <w:rPr>
                <w:rFonts w:cs="Calibri"/>
                <w:color w:val="000000"/>
                <w:sz w:val="18"/>
                <w:szCs w:val="18"/>
                <w:lang w:val="en"/>
              </w:rPr>
              <w:t>Recognition of the need for and an ability to engage in continuing professional development</w:t>
            </w:r>
          </w:p>
          <w:p w14:paraId="14197244" w14:textId="77777777" w:rsidR="00A91A16" w:rsidRDefault="00A91A16" w:rsidP="00FC4D01">
            <w:pPr>
              <w:rPr>
                <w:rFonts w:cs="Calibri"/>
                <w:color w:val="000000"/>
                <w:sz w:val="18"/>
                <w:szCs w:val="18"/>
                <w:lang w:val="en"/>
              </w:rPr>
            </w:pPr>
            <w:r w:rsidRPr="0030703F">
              <w:rPr>
                <w:rFonts w:cs="Calibri"/>
                <w:color w:val="000000"/>
                <w:sz w:val="18"/>
                <w:szCs w:val="18"/>
                <w:lang w:val="en"/>
              </w:rPr>
              <w:t>(g) An ability to analyze the local and global impact of computing on individuals, organizations, and society</w:t>
            </w:r>
          </w:p>
          <w:p w14:paraId="2F41524D" w14:textId="77777777" w:rsidR="00A91A16" w:rsidRPr="0030703F" w:rsidRDefault="00A91A16" w:rsidP="00FC4D01">
            <w:pPr>
              <w:rPr>
                <w:rFonts w:cs="Calibri"/>
                <w:color w:val="000000"/>
                <w:sz w:val="18"/>
                <w:szCs w:val="18"/>
                <w:lang w:val="en"/>
              </w:rPr>
            </w:pPr>
          </w:p>
        </w:tc>
      </w:tr>
      <w:bookmarkEnd w:id="1"/>
    </w:tbl>
    <w:p w14:paraId="1245A4FB" w14:textId="77777777" w:rsidR="00A91A16" w:rsidRDefault="00A91A16" w:rsidP="00A91A16"/>
    <w:p w14:paraId="14D6EDA7" w14:textId="77777777" w:rsidR="00A91A16" w:rsidRPr="00E718D7" w:rsidRDefault="00A91A16" w:rsidP="00A91A16"/>
    <w:p w14:paraId="1467E98D" w14:textId="77777777" w:rsidR="00A91A16" w:rsidRDefault="00A91A16" w:rsidP="00A91A16">
      <w:pPr>
        <w:pStyle w:val="NoSpacing"/>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1747"/>
        <w:gridCol w:w="1141"/>
        <w:gridCol w:w="1123"/>
        <w:gridCol w:w="1359"/>
        <w:gridCol w:w="1436"/>
        <w:gridCol w:w="1434"/>
      </w:tblGrid>
      <w:tr w:rsidR="00A91A16" w:rsidRPr="008B0C16" w14:paraId="684188F5" w14:textId="77777777" w:rsidTr="00FC4D01">
        <w:tc>
          <w:tcPr>
            <w:tcW w:w="595" w:type="pct"/>
          </w:tcPr>
          <w:p w14:paraId="71777D71" w14:textId="77777777" w:rsidR="00A91A16" w:rsidRPr="008B0C16" w:rsidRDefault="00A91A16" w:rsidP="00FC4D01">
            <w:pPr>
              <w:rPr>
                <w:b/>
                <w:sz w:val="20"/>
                <w:szCs w:val="20"/>
              </w:rPr>
            </w:pPr>
            <w:r>
              <w:rPr>
                <w:b/>
                <w:sz w:val="20"/>
                <w:szCs w:val="20"/>
              </w:rPr>
              <w:t>What data sources were used</w:t>
            </w:r>
          </w:p>
        </w:tc>
        <w:tc>
          <w:tcPr>
            <w:tcW w:w="936" w:type="pct"/>
          </w:tcPr>
          <w:p w14:paraId="1014533C" w14:textId="77777777" w:rsidR="00A91A16" w:rsidRPr="008B0C16" w:rsidRDefault="00A91A16" w:rsidP="00FC4D01">
            <w:pPr>
              <w:rPr>
                <w:b/>
                <w:sz w:val="20"/>
                <w:szCs w:val="20"/>
              </w:rPr>
            </w:pPr>
            <w:r>
              <w:rPr>
                <w:b/>
                <w:sz w:val="20"/>
                <w:szCs w:val="20"/>
              </w:rPr>
              <w:t>When were data collected</w:t>
            </w:r>
          </w:p>
        </w:tc>
        <w:tc>
          <w:tcPr>
            <w:tcW w:w="602" w:type="pct"/>
          </w:tcPr>
          <w:p w14:paraId="76C9EFF2" w14:textId="77777777" w:rsidR="00A91A16" w:rsidRDefault="00A91A16" w:rsidP="00FC4D01">
            <w:pPr>
              <w:rPr>
                <w:b/>
                <w:sz w:val="20"/>
                <w:szCs w:val="20"/>
              </w:rPr>
            </w:pPr>
            <w:r>
              <w:rPr>
                <w:b/>
                <w:sz w:val="20"/>
                <w:szCs w:val="20"/>
              </w:rPr>
              <w:t>Indicator</w:t>
            </w:r>
          </w:p>
        </w:tc>
        <w:tc>
          <w:tcPr>
            <w:tcW w:w="602" w:type="pct"/>
          </w:tcPr>
          <w:p w14:paraId="3C071E3C" w14:textId="77777777" w:rsidR="00A91A16" w:rsidRPr="008B0C16" w:rsidRDefault="00A91A16" w:rsidP="00FC4D01">
            <w:pPr>
              <w:rPr>
                <w:b/>
                <w:sz w:val="20"/>
                <w:szCs w:val="20"/>
              </w:rPr>
            </w:pPr>
            <w:r>
              <w:rPr>
                <w:b/>
                <w:sz w:val="20"/>
                <w:szCs w:val="20"/>
              </w:rPr>
              <w:t xml:space="preserve">Percent of students earning </w:t>
            </w:r>
            <w:r>
              <w:rPr>
                <w:b/>
                <w:sz w:val="20"/>
                <w:szCs w:val="20"/>
              </w:rPr>
              <w:lastRenderedPageBreak/>
              <w:t>good or exemplary</w:t>
            </w:r>
          </w:p>
        </w:tc>
        <w:tc>
          <w:tcPr>
            <w:tcW w:w="728" w:type="pct"/>
          </w:tcPr>
          <w:p w14:paraId="781FBF6E" w14:textId="77777777" w:rsidR="00A91A16" w:rsidRPr="008B0C16" w:rsidRDefault="00A91A16" w:rsidP="00FC4D01">
            <w:pPr>
              <w:rPr>
                <w:b/>
                <w:sz w:val="20"/>
                <w:szCs w:val="20"/>
              </w:rPr>
            </w:pPr>
            <w:r>
              <w:rPr>
                <w:b/>
                <w:sz w:val="20"/>
                <w:szCs w:val="20"/>
              </w:rPr>
              <w:lastRenderedPageBreak/>
              <w:t>2019-2020 Mean (sd)</w:t>
            </w:r>
          </w:p>
        </w:tc>
        <w:tc>
          <w:tcPr>
            <w:tcW w:w="769" w:type="pct"/>
          </w:tcPr>
          <w:p w14:paraId="74FFE4C8" w14:textId="77777777" w:rsidR="00A91A16" w:rsidRDefault="00A91A16" w:rsidP="00FC4D01">
            <w:pPr>
              <w:rPr>
                <w:b/>
                <w:sz w:val="20"/>
                <w:szCs w:val="20"/>
              </w:rPr>
            </w:pPr>
            <w:r>
              <w:rPr>
                <w:b/>
                <w:sz w:val="20"/>
                <w:szCs w:val="20"/>
              </w:rPr>
              <w:t>2018-2019 Mean</w:t>
            </w:r>
          </w:p>
        </w:tc>
        <w:tc>
          <w:tcPr>
            <w:tcW w:w="768" w:type="pct"/>
          </w:tcPr>
          <w:p w14:paraId="17F8B662" w14:textId="77777777" w:rsidR="00A91A16" w:rsidRDefault="00A91A16" w:rsidP="00FC4D01">
            <w:pPr>
              <w:jc w:val="center"/>
              <w:rPr>
                <w:b/>
                <w:sz w:val="20"/>
                <w:szCs w:val="20"/>
              </w:rPr>
            </w:pPr>
            <w:r>
              <w:rPr>
                <w:b/>
                <w:sz w:val="20"/>
                <w:szCs w:val="20"/>
              </w:rPr>
              <w:t>2017-2018</w:t>
            </w:r>
          </w:p>
          <w:p w14:paraId="3B798C78" w14:textId="77777777" w:rsidR="00A91A16" w:rsidRDefault="00A91A16" w:rsidP="00FC4D01">
            <w:pPr>
              <w:jc w:val="center"/>
              <w:rPr>
                <w:b/>
                <w:sz w:val="20"/>
                <w:szCs w:val="20"/>
              </w:rPr>
            </w:pPr>
            <w:r>
              <w:rPr>
                <w:b/>
                <w:sz w:val="20"/>
                <w:szCs w:val="20"/>
              </w:rPr>
              <w:t>Mean</w:t>
            </w:r>
          </w:p>
          <w:p w14:paraId="410E9A48" w14:textId="77777777" w:rsidR="00A91A16" w:rsidRPr="008B0C16" w:rsidRDefault="00A91A16" w:rsidP="00FC4D01">
            <w:pPr>
              <w:rPr>
                <w:b/>
                <w:sz w:val="20"/>
                <w:szCs w:val="20"/>
              </w:rPr>
            </w:pPr>
          </w:p>
        </w:tc>
      </w:tr>
      <w:tr w:rsidR="00A91A16" w:rsidRPr="008B0C16" w14:paraId="50A8612D" w14:textId="77777777" w:rsidTr="00FC4D01">
        <w:tc>
          <w:tcPr>
            <w:tcW w:w="595" w:type="pct"/>
          </w:tcPr>
          <w:p w14:paraId="352FFFD0" w14:textId="77777777" w:rsidR="00A91A16" w:rsidRPr="008B0C16" w:rsidRDefault="00A91A16" w:rsidP="00FC4D01">
            <w:pPr>
              <w:rPr>
                <w:sz w:val="20"/>
                <w:szCs w:val="20"/>
              </w:rPr>
            </w:pPr>
            <w:r>
              <w:rPr>
                <w:sz w:val="20"/>
                <w:szCs w:val="20"/>
              </w:rPr>
              <w:lastRenderedPageBreak/>
              <w:t>CSC4990 capstone project</w:t>
            </w:r>
          </w:p>
        </w:tc>
        <w:tc>
          <w:tcPr>
            <w:tcW w:w="936" w:type="pct"/>
          </w:tcPr>
          <w:p w14:paraId="0D759C1E" w14:textId="77777777" w:rsidR="00A91A16" w:rsidRPr="008B0C16" w:rsidRDefault="00A91A16" w:rsidP="00FC4D01">
            <w:pPr>
              <w:rPr>
                <w:sz w:val="20"/>
                <w:szCs w:val="20"/>
              </w:rPr>
            </w:pPr>
            <w:r>
              <w:rPr>
                <w:sz w:val="20"/>
                <w:szCs w:val="20"/>
              </w:rPr>
              <w:t>Spring 2020</w:t>
            </w:r>
          </w:p>
        </w:tc>
        <w:tc>
          <w:tcPr>
            <w:tcW w:w="602" w:type="pct"/>
          </w:tcPr>
          <w:p w14:paraId="73F2DE4C" w14:textId="77777777" w:rsidR="00A91A16" w:rsidRDefault="00A91A16" w:rsidP="00FC4D01">
            <w:pPr>
              <w:jc w:val="center"/>
              <w:rPr>
                <w:rFonts w:cs="Calibri"/>
                <w:color w:val="000000"/>
                <w:sz w:val="18"/>
                <w:szCs w:val="18"/>
                <w:lang w:val="en"/>
              </w:rPr>
            </w:pPr>
            <w:r>
              <w:rPr>
                <w:rFonts w:cs="Calibri"/>
                <w:color w:val="000000"/>
                <w:sz w:val="18"/>
                <w:szCs w:val="18"/>
                <w:lang w:val="en"/>
              </w:rPr>
              <w:t>h)</w:t>
            </w:r>
          </w:p>
        </w:tc>
        <w:tc>
          <w:tcPr>
            <w:tcW w:w="602" w:type="pct"/>
          </w:tcPr>
          <w:p w14:paraId="4746FAAD" w14:textId="77777777" w:rsidR="00A91A16" w:rsidRDefault="00A91A16" w:rsidP="00FC4D01">
            <w:pPr>
              <w:jc w:val="center"/>
              <w:rPr>
                <w:rFonts w:cs="Calibri"/>
                <w:color w:val="000000"/>
                <w:sz w:val="18"/>
                <w:szCs w:val="18"/>
                <w:lang w:val="en"/>
              </w:rPr>
            </w:pPr>
            <w:r>
              <w:rPr>
                <w:rFonts w:cs="Calibri"/>
                <w:color w:val="000000"/>
                <w:sz w:val="18"/>
                <w:szCs w:val="18"/>
                <w:lang w:val="en"/>
              </w:rPr>
              <w:t>N/A</w:t>
            </w:r>
          </w:p>
        </w:tc>
        <w:tc>
          <w:tcPr>
            <w:tcW w:w="728" w:type="pct"/>
          </w:tcPr>
          <w:p w14:paraId="090B9C70" w14:textId="77777777" w:rsidR="00A91A16" w:rsidRDefault="00A91A16" w:rsidP="00FC4D01">
            <w:pPr>
              <w:jc w:val="center"/>
              <w:rPr>
                <w:rFonts w:cs="Calibri"/>
                <w:color w:val="000000"/>
                <w:sz w:val="18"/>
                <w:szCs w:val="18"/>
                <w:lang w:val="en"/>
              </w:rPr>
            </w:pPr>
            <w:r>
              <w:rPr>
                <w:rFonts w:cs="Calibri"/>
                <w:color w:val="000000"/>
                <w:sz w:val="18"/>
                <w:szCs w:val="18"/>
                <w:lang w:val="en"/>
              </w:rPr>
              <w:t>N/A</w:t>
            </w:r>
          </w:p>
        </w:tc>
        <w:tc>
          <w:tcPr>
            <w:tcW w:w="769" w:type="pct"/>
          </w:tcPr>
          <w:p w14:paraId="1D7D2325" w14:textId="77777777" w:rsidR="00A91A16" w:rsidRDefault="00A91A16" w:rsidP="00FC4D01">
            <w:pPr>
              <w:jc w:val="center"/>
              <w:rPr>
                <w:rFonts w:cs="Calibri"/>
                <w:color w:val="000000"/>
                <w:sz w:val="18"/>
                <w:szCs w:val="18"/>
                <w:lang w:val="en"/>
              </w:rPr>
            </w:pPr>
            <w:r>
              <w:rPr>
                <w:rFonts w:cs="Calibri"/>
                <w:color w:val="000000"/>
                <w:sz w:val="18"/>
                <w:szCs w:val="18"/>
                <w:lang w:val="en"/>
              </w:rPr>
              <w:t>3.17</w:t>
            </w:r>
          </w:p>
        </w:tc>
        <w:tc>
          <w:tcPr>
            <w:tcW w:w="768" w:type="pct"/>
          </w:tcPr>
          <w:p w14:paraId="64BA0D98" w14:textId="77777777" w:rsidR="00A91A16" w:rsidRDefault="00A91A16" w:rsidP="00FC4D01">
            <w:pPr>
              <w:jc w:val="center"/>
              <w:rPr>
                <w:rFonts w:cs="Calibri"/>
                <w:color w:val="000000"/>
                <w:sz w:val="18"/>
                <w:szCs w:val="18"/>
                <w:lang w:val="en"/>
              </w:rPr>
            </w:pPr>
            <w:r>
              <w:rPr>
                <w:rFonts w:cs="Calibri"/>
                <w:color w:val="000000"/>
                <w:sz w:val="18"/>
                <w:szCs w:val="18"/>
                <w:lang w:val="en"/>
              </w:rPr>
              <w:t>3.23</w:t>
            </w:r>
          </w:p>
        </w:tc>
      </w:tr>
      <w:tr w:rsidR="00A91A16" w:rsidRPr="008B0C16" w14:paraId="5E9856A6" w14:textId="77777777" w:rsidTr="00FC4D01">
        <w:tc>
          <w:tcPr>
            <w:tcW w:w="595" w:type="pct"/>
          </w:tcPr>
          <w:p w14:paraId="66A4D6D5" w14:textId="77777777" w:rsidR="00A91A16" w:rsidRDefault="00A91A16" w:rsidP="00FC4D01">
            <w:pPr>
              <w:rPr>
                <w:sz w:val="20"/>
                <w:szCs w:val="20"/>
              </w:rPr>
            </w:pPr>
            <w:r>
              <w:rPr>
                <w:sz w:val="20"/>
                <w:szCs w:val="20"/>
              </w:rPr>
              <w:t>CSC4990 capstone project</w:t>
            </w:r>
          </w:p>
        </w:tc>
        <w:tc>
          <w:tcPr>
            <w:tcW w:w="936" w:type="pct"/>
          </w:tcPr>
          <w:p w14:paraId="5CD2A143" w14:textId="77777777" w:rsidR="00A91A16" w:rsidRDefault="00A91A16" w:rsidP="00FC4D01">
            <w:pPr>
              <w:rPr>
                <w:sz w:val="20"/>
                <w:szCs w:val="20"/>
              </w:rPr>
            </w:pPr>
            <w:r>
              <w:rPr>
                <w:sz w:val="20"/>
                <w:szCs w:val="20"/>
              </w:rPr>
              <w:t>Spring 2020</w:t>
            </w:r>
          </w:p>
        </w:tc>
        <w:tc>
          <w:tcPr>
            <w:tcW w:w="602" w:type="pct"/>
          </w:tcPr>
          <w:p w14:paraId="17817929" w14:textId="77777777" w:rsidR="00A91A16" w:rsidRDefault="00A91A16" w:rsidP="00FC4D01">
            <w:pPr>
              <w:jc w:val="center"/>
              <w:rPr>
                <w:rFonts w:cs="Calibri"/>
                <w:color w:val="000000"/>
                <w:sz w:val="18"/>
                <w:szCs w:val="18"/>
                <w:lang w:val="en"/>
              </w:rPr>
            </w:pPr>
            <w:r>
              <w:rPr>
                <w:rFonts w:cs="Calibri"/>
                <w:color w:val="000000"/>
                <w:sz w:val="18"/>
                <w:szCs w:val="18"/>
                <w:lang w:val="en"/>
              </w:rPr>
              <w:t xml:space="preserve">e) - </w:t>
            </w:r>
            <w:r w:rsidRPr="005A3A20">
              <w:rPr>
                <w:sz w:val="18"/>
                <w:szCs w:val="18"/>
                <w:lang w:val="en"/>
              </w:rPr>
              <w:t>professional, ethical, legal, security and social issues</w:t>
            </w:r>
          </w:p>
        </w:tc>
        <w:tc>
          <w:tcPr>
            <w:tcW w:w="602" w:type="pct"/>
          </w:tcPr>
          <w:p w14:paraId="5D11C9FF" w14:textId="77777777" w:rsidR="00A91A16" w:rsidRDefault="00A91A16" w:rsidP="00FC4D01">
            <w:pPr>
              <w:jc w:val="center"/>
              <w:rPr>
                <w:rFonts w:cs="Calibri"/>
                <w:color w:val="000000"/>
                <w:sz w:val="18"/>
                <w:szCs w:val="18"/>
                <w:lang w:val="en"/>
              </w:rPr>
            </w:pPr>
            <w:r>
              <w:rPr>
                <w:rFonts w:cs="Calibri"/>
                <w:color w:val="000000"/>
                <w:sz w:val="18"/>
                <w:szCs w:val="18"/>
                <w:lang w:val="en"/>
              </w:rPr>
              <w:t>80</w:t>
            </w:r>
          </w:p>
        </w:tc>
        <w:tc>
          <w:tcPr>
            <w:tcW w:w="728" w:type="pct"/>
          </w:tcPr>
          <w:p w14:paraId="0E7F2D02" w14:textId="77777777" w:rsidR="00A91A16" w:rsidRDefault="00A91A16" w:rsidP="00FC4D01">
            <w:pPr>
              <w:jc w:val="center"/>
              <w:rPr>
                <w:rFonts w:cs="Calibri"/>
                <w:color w:val="000000"/>
                <w:sz w:val="18"/>
                <w:szCs w:val="18"/>
                <w:lang w:val="en"/>
              </w:rPr>
            </w:pPr>
            <w:r>
              <w:rPr>
                <w:rFonts w:cs="Calibri"/>
                <w:color w:val="000000"/>
                <w:sz w:val="18"/>
                <w:szCs w:val="18"/>
                <w:lang w:val="en"/>
              </w:rPr>
              <w:t>3.65 (1.17)</w:t>
            </w:r>
          </w:p>
        </w:tc>
        <w:tc>
          <w:tcPr>
            <w:tcW w:w="769" w:type="pct"/>
          </w:tcPr>
          <w:p w14:paraId="3FEE5262" w14:textId="77777777" w:rsidR="00A91A16" w:rsidRDefault="00A91A16" w:rsidP="00FC4D01">
            <w:pPr>
              <w:jc w:val="center"/>
              <w:rPr>
                <w:rFonts w:cs="Calibri"/>
                <w:color w:val="000000"/>
                <w:sz w:val="18"/>
                <w:szCs w:val="18"/>
                <w:lang w:val="en"/>
              </w:rPr>
            </w:pPr>
            <w:r>
              <w:rPr>
                <w:rFonts w:cs="Calibri"/>
                <w:color w:val="000000"/>
                <w:sz w:val="18"/>
                <w:szCs w:val="18"/>
                <w:lang w:val="en"/>
              </w:rPr>
              <w:t>3.00</w:t>
            </w:r>
          </w:p>
        </w:tc>
        <w:tc>
          <w:tcPr>
            <w:tcW w:w="768" w:type="pct"/>
          </w:tcPr>
          <w:p w14:paraId="34DB5D55" w14:textId="77777777" w:rsidR="00A91A16" w:rsidRDefault="00A91A16" w:rsidP="00FC4D01">
            <w:pPr>
              <w:jc w:val="center"/>
              <w:rPr>
                <w:rFonts w:cs="Calibri"/>
                <w:color w:val="000000"/>
                <w:sz w:val="18"/>
                <w:szCs w:val="18"/>
                <w:lang w:val="en"/>
              </w:rPr>
            </w:pPr>
            <w:r>
              <w:rPr>
                <w:rFonts w:cs="Calibri"/>
                <w:color w:val="000000"/>
                <w:sz w:val="18"/>
                <w:szCs w:val="18"/>
                <w:lang w:val="en"/>
              </w:rPr>
              <w:t>3.18</w:t>
            </w:r>
          </w:p>
        </w:tc>
      </w:tr>
      <w:tr w:rsidR="00A91A16" w:rsidRPr="008B0C16" w14:paraId="0E5270FA" w14:textId="77777777" w:rsidTr="00FC4D01">
        <w:tc>
          <w:tcPr>
            <w:tcW w:w="595" w:type="pct"/>
          </w:tcPr>
          <w:p w14:paraId="1541172B" w14:textId="77777777" w:rsidR="00A91A16" w:rsidRDefault="00A91A16" w:rsidP="00FC4D01">
            <w:pPr>
              <w:rPr>
                <w:sz w:val="20"/>
                <w:szCs w:val="20"/>
              </w:rPr>
            </w:pPr>
            <w:r>
              <w:rPr>
                <w:sz w:val="20"/>
                <w:szCs w:val="20"/>
              </w:rPr>
              <w:t>CSC4500 project</w:t>
            </w:r>
          </w:p>
        </w:tc>
        <w:tc>
          <w:tcPr>
            <w:tcW w:w="936" w:type="pct"/>
          </w:tcPr>
          <w:p w14:paraId="7D227F92" w14:textId="77777777" w:rsidR="00A91A16" w:rsidRDefault="00A91A16" w:rsidP="00FC4D01">
            <w:pPr>
              <w:rPr>
                <w:sz w:val="20"/>
                <w:szCs w:val="20"/>
              </w:rPr>
            </w:pPr>
            <w:r>
              <w:rPr>
                <w:sz w:val="20"/>
                <w:szCs w:val="20"/>
              </w:rPr>
              <w:t>Fall 2019</w:t>
            </w:r>
          </w:p>
        </w:tc>
        <w:tc>
          <w:tcPr>
            <w:tcW w:w="602" w:type="pct"/>
          </w:tcPr>
          <w:p w14:paraId="2F84F1A9" w14:textId="77777777" w:rsidR="00A91A16" w:rsidRDefault="00A91A16" w:rsidP="00FC4D01">
            <w:pPr>
              <w:jc w:val="center"/>
              <w:rPr>
                <w:rFonts w:cs="Calibri"/>
                <w:color w:val="000000"/>
                <w:sz w:val="18"/>
                <w:szCs w:val="18"/>
                <w:lang w:val="en"/>
              </w:rPr>
            </w:pPr>
            <w:r>
              <w:rPr>
                <w:rFonts w:cs="Calibri"/>
                <w:color w:val="000000"/>
                <w:sz w:val="18"/>
                <w:szCs w:val="18"/>
                <w:lang w:val="en"/>
              </w:rPr>
              <w:t>j)</w:t>
            </w:r>
          </w:p>
        </w:tc>
        <w:tc>
          <w:tcPr>
            <w:tcW w:w="602" w:type="pct"/>
          </w:tcPr>
          <w:p w14:paraId="1A37B058" w14:textId="77777777" w:rsidR="00A91A16" w:rsidRDefault="00A91A16" w:rsidP="00FC4D01">
            <w:pPr>
              <w:jc w:val="center"/>
              <w:rPr>
                <w:rFonts w:cs="Calibri"/>
                <w:color w:val="000000"/>
                <w:sz w:val="18"/>
                <w:szCs w:val="18"/>
                <w:lang w:val="en"/>
              </w:rPr>
            </w:pPr>
            <w:r>
              <w:rPr>
                <w:rFonts w:cs="Calibri"/>
                <w:color w:val="000000"/>
                <w:sz w:val="18"/>
                <w:szCs w:val="18"/>
                <w:lang w:val="en"/>
              </w:rPr>
              <w:t>100</w:t>
            </w:r>
          </w:p>
        </w:tc>
        <w:tc>
          <w:tcPr>
            <w:tcW w:w="728" w:type="pct"/>
          </w:tcPr>
          <w:p w14:paraId="6574F28A" w14:textId="77777777" w:rsidR="00A91A16" w:rsidRDefault="00A91A16" w:rsidP="00FC4D01">
            <w:pPr>
              <w:jc w:val="center"/>
              <w:rPr>
                <w:rFonts w:cs="Calibri"/>
                <w:color w:val="000000"/>
                <w:sz w:val="18"/>
                <w:szCs w:val="18"/>
                <w:lang w:val="en"/>
              </w:rPr>
            </w:pPr>
            <w:r>
              <w:rPr>
                <w:rFonts w:cs="Calibri"/>
                <w:color w:val="000000"/>
                <w:sz w:val="18"/>
                <w:szCs w:val="18"/>
                <w:lang w:val="en"/>
              </w:rPr>
              <w:t>3.73 (0.45)</w:t>
            </w:r>
          </w:p>
        </w:tc>
        <w:tc>
          <w:tcPr>
            <w:tcW w:w="769" w:type="pct"/>
          </w:tcPr>
          <w:p w14:paraId="5289786A" w14:textId="77777777" w:rsidR="00A91A16" w:rsidRDefault="00A91A16" w:rsidP="00FC4D01">
            <w:pPr>
              <w:jc w:val="center"/>
              <w:rPr>
                <w:rFonts w:cs="Calibri"/>
                <w:color w:val="000000"/>
                <w:sz w:val="18"/>
                <w:szCs w:val="18"/>
                <w:lang w:val="en"/>
              </w:rPr>
            </w:pPr>
            <w:r>
              <w:rPr>
                <w:rFonts w:cs="Calibri"/>
                <w:color w:val="000000"/>
                <w:sz w:val="18"/>
                <w:szCs w:val="18"/>
                <w:lang w:val="en"/>
              </w:rPr>
              <w:t>3.11</w:t>
            </w:r>
          </w:p>
        </w:tc>
        <w:tc>
          <w:tcPr>
            <w:tcW w:w="768" w:type="pct"/>
          </w:tcPr>
          <w:p w14:paraId="7EDD6401" w14:textId="77777777" w:rsidR="00A91A16" w:rsidRDefault="00A91A16" w:rsidP="00FC4D01">
            <w:pPr>
              <w:jc w:val="center"/>
              <w:rPr>
                <w:rFonts w:cs="Calibri"/>
                <w:color w:val="000000"/>
                <w:sz w:val="18"/>
                <w:szCs w:val="18"/>
                <w:lang w:val="en"/>
              </w:rPr>
            </w:pPr>
            <w:r>
              <w:rPr>
                <w:rFonts w:cs="Calibri"/>
                <w:color w:val="000000"/>
                <w:sz w:val="18"/>
                <w:szCs w:val="18"/>
                <w:lang w:val="en"/>
              </w:rPr>
              <w:t>3.04</w:t>
            </w:r>
          </w:p>
        </w:tc>
      </w:tr>
    </w:tbl>
    <w:p w14:paraId="0BC4EEFB" w14:textId="77777777" w:rsidR="00A91A16" w:rsidRDefault="00A91A16" w:rsidP="00A91A16">
      <w:pPr>
        <w:pStyle w:val="NoSpacing"/>
        <w:rPr>
          <w:rFonts w:eastAsia="Times New Roman"/>
        </w:rPr>
      </w:pPr>
    </w:p>
    <w:p w14:paraId="1D10C397" w14:textId="741BC023" w:rsidR="00A91A16" w:rsidRPr="00304613" w:rsidRDefault="00524550" w:rsidP="00304613">
      <w:pPr>
        <w:contextualSpacing/>
        <w:rPr>
          <w:b/>
        </w:rPr>
      </w:pPr>
      <w:r w:rsidRPr="00304613">
        <w:rPr>
          <w:b/>
        </w:rPr>
        <w:t xml:space="preserve">PO #4 Analysis </w:t>
      </w:r>
    </w:p>
    <w:p w14:paraId="272C385F" w14:textId="77777777" w:rsidR="00A91A16" w:rsidRPr="00304613" w:rsidRDefault="00A91A16" w:rsidP="00304613">
      <w:pPr>
        <w:rPr>
          <w:bCs/>
        </w:rPr>
      </w:pPr>
      <w:r w:rsidRPr="00304613">
        <w:rPr>
          <w:bCs/>
        </w:rPr>
        <w:t>All benchmarks have been met to indicators (e) and (j).</w:t>
      </w:r>
    </w:p>
    <w:p w14:paraId="24C74C97" w14:textId="77777777" w:rsidR="00A91A16" w:rsidRPr="00304613" w:rsidRDefault="00A91A16" w:rsidP="00304613">
      <w:pPr>
        <w:pStyle w:val="NoSpacing"/>
        <w:spacing w:after="240"/>
        <w:rPr>
          <w:rFonts w:eastAsia="Times New Roman"/>
          <w:b/>
          <w:sz w:val="24"/>
          <w:szCs w:val="24"/>
        </w:rPr>
      </w:pPr>
      <w:r w:rsidRPr="00304613">
        <w:rPr>
          <w:iCs/>
          <w:sz w:val="24"/>
          <w:szCs w:val="24"/>
        </w:rPr>
        <w:t>Data was not collected for indicator (h).  Assessment of this indicator should be built into the standard for this course</w:t>
      </w:r>
      <w:r w:rsidRPr="00304613">
        <w:rPr>
          <w:rFonts w:eastAsia="Times New Roman"/>
          <w:b/>
          <w:sz w:val="24"/>
          <w:szCs w:val="24"/>
        </w:rPr>
        <w:t xml:space="preserve"> </w:t>
      </w:r>
    </w:p>
    <w:p w14:paraId="419C1C46" w14:textId="77777777" w:rsidR="00A91A16" w:rsidRPr="006E78A2" w:rsidRDefault="00A91A16" w:rsidP="006E78A2">
      <w:pPr>
        <w:pStyle w:val="ListParagraph"/>
        <w:rPr>
          <w:bCs/>
        </w:rPr>
      </w:pPr>
    </w:p>
    <w:p w14:paraId="23AC132A" w14:textId="77777777" w:rsidR="0095511E" w:rsidRDefault="0095511E" w:rsidP="00BE6920">
      <w:pPr>
        <w:pStyle w:val="BodyTextIndent"/>
      </w:pPr>
    </w:p>
    <w:p w14:paraId="7BB14538" w14:textId="7FC6E000" w:rsidR="004C49D6" w:rsidRDefault="004C49D6" w:rsidP="00DA34CA">
      <w:pPr>
        <w:pStyle w:val="BodyTextIndent"/>
        <w:numPr>
          <w:ilvl w:val="0"/>
          <w:numId w:val="8"/>
        </w:numPr>
      </w:pPr>
      <w:r>
        <w:t>Quality of co-curriculum</w:t>
      </w:r>
      <w:r w:rsidR="00343110">
        <w:t xml:space="preserve"> - W</w:t>
      </w:r>
      <w:r w:rsidR="00DA34CA">
        <w:t>hat do the reports suggest about the quality of the co-curriculum and how the quality has changed over time? What do the reports suggest about actions that could be taken to improve quality of co-curricular offerings?</w:t>
      </w:r>
    </w:p>
    <w:p w14:paraId="25731E38" w14:textId="76E00061" w:rsidR="009A6AC6" w:rsidRDefault="009A6AC6" w:rsidP="004C49D6">
      <w:pPr>
        <w:numPr>
          <w:ilvl w:val="0"/>
          <w:numId w:val="8"/>
        </w:numPr>
      </w:pPr>
      <w:r>
        <w:t xml:space="preserve">Assess the evidence supporting extent to which Student Learning Outcomes have been achieved. Has achievement of Student Learning Outcomes changed over time? What do reports suggest about actions that could be taken to improve achievement of Student Learning Outcomes? Do the Student Learning Outcomes remain appropriate for preparation for the career or graduate education aspirations students might have? </w:t>
      </w:r>
    </w:p>
    <w:p w14:paraId="3C4F7419" w14:textId="77777777" w:rsidR="00B62591" w:rsidRDefault="00B62591" w:rsidP="00B62591">
      <w:pPr>
        <w:numPr>
          <w:ilvl w:val="0"/>
          <w:numId w:val="8"/>
        </w:numPr>
      </w:pPr>
      <w:r>
        <w:t xml:space="preserve">Quality of Student Learning </w:t>
      </w:r>
    </w:p>
    <w:p w14:paraId="4F25AE9C" w14:textId="77777777" w:rsidR="00B62591" w:rsidRDefault="00B62591" w:rsidP="00B62591">
      <w:pPr>
        <w:ind w:left="1080"/>
      </w:pPr>
    </w:p>
    <w:p w14:paraId="73A8741B" w14:textId="77777777" w:rsidR="00B62591" w:rsidRDefault="00B62591" w:rsidP="00B62591">
      <w:pPr>
        <w:ind w:left="1080"/>
      </w:pPr>
      <w:r>
        <w:t>One way to measure the quality of student learning within the program is by examining the percentage distribution of grades by course. The data depicted in Table 5 show that a large percentage of students have achieved course learning outcomes, at least as measured by letter grades. For all classes, the vast majority of students earned an “A” or a “B”. In several classes, the majority of students earned an “A” grade.</w:t>
      </w:r>
    </w:p>
    <w:p w14:paraId="207B1D0E" w14:textId="77777777" w:rsidR="00B62591" w:rsidRDefault="00B62591" w:rsidP="00B62591">
      <w:pPr>
        <w:ind w:left="1080"/>
      </w:pPr>
    </w:p>
    <w:p w14:paraId="2E1675A2" w14:textId="77777777" w:rsidR="00B62591" w:rsidRDefault="00B62591" w:rsidP="00B62591">
      <w:pPr>
        <w:ind w:left="1080"/>
      </w:pPr>
    </w:p>
    <w:p w14:paraId="2EAB8FA2" w14:textId="77777777" w:rsidR="00B62591" w:rsidRDefault="00B62591" w:rsidP="00B62591">
      <w:pPr>
        <w:ind w:left="1080"/>
      </w:pPr>
    </w:p>
    <w:p w14:paraId="06B21425" w14:textId="77777777" w:rsidR="00B62591" w:rsidRDefault="00B62591" w:rsidP="00B62591">
      <w:pPr>
        <w:ind w:left="1080"/>
      </w:pPr>
    </w:p>
    <w:p w14:paraId="78BB7E32" w14:textId="77777777" w:rsidR="00B62591" w:rsidRDefault="00B62591" w:rsidP="00B62591">
      <w:pPr>
        <w:ind w:left="1080"/>
      </w:pPr>
    </w:p>
    <w:p w14:paraId="4BE52B31" w14:textId="77777777" w:rsidR="00B62591" w:rsidRDefault="00B62591" w:rsidP="00B62591">
      <w:pPr>
        <w:ind w:left="1080"/>
      </w:pPr>
    </w:p>
    <w:p w14:paraId="31B6C75A" w14:textId="77777777" w:rsidR="00B62591" w:rsidRDefault="00B62591" w:rsidP="00B62591">
      <w:pPr>
        <w:ind w:left="1080"/>
      </w:pPr>
    </w:p>
    <w:p w14:paraId="4C0A8549" w14:textId="77777777" w:rsidR="00B62591" w:rsidRDefault="00B62591" w:rsidP="00B62591">
      <w:pPr>
        <w:ind w:left="1080"/>
      </w:pPr>
    </w:p>
    <w:p w14:paraId="4AA82732" w14:textId="77777777" w:rsidR="00B62591" w:rsidRDefault="00B62591" w:rsidP="00B62591">
      <w:pPr>
        <w:ind w:left="1080"/>
      </w:pPr>
    </w:p>
    <w:p w14:paraId="2FF495A9" w14:textId="77777777" w:rsidR="00B62591" w:rsidRDefault="00B62591" w:rsidP="00B62591">
      <w:pPr>
        <w:ind w:left="1080"/>
        <w:jc w:val="center"/>
      </w:pPr>
      <w:r>
        <w:t>Table 5.</w:t>
      </w:r>
    </w:p>
    <w:p w14:paraId="551E4ED5" w14:textId="77777777" w:rsidR="00B62591" w:rsidRDefault="00B62591" w:rsidP="00B62591">
      <w:pPr>
        <w:ind w:left="1080"/>
        <w:jc w:val="center"/>
      </w:pPr>
      <w:r>
        <w:t xml:space="preserve">Percentage Distribution of Grades by Course </w:t>
      </w:r>
    </w:p>
    <w:p w14:paraId="06C32470" w14:textId="77777777" w:rsidR="00B62591" w:rsidRDefault="00B62591" w:rsidP="00B62591">
      <w:pPr>
        <w:ind w:left="1080"/>
      </w:pPr>
    </w:p>
    <w:tbl>
      <w:tblPr>
        <w:tblStyle w:val="TableGrid"/>
        <w:tblW w:w="8725" w:type="dxa"/>
        <w:tblInd w:w="625" w:type="dxa"/>
        <w:tblLook w:val="04A0" w:firstRow="1" w:lastRow="0" w:firstColumn="1" w:lastColumn="0" w:noHBand="0" w:noVBand="1"/>
      </w:tblPr>
      <w:tblGrid>
        <w:gridCol w:w="5225"/>
        <w:gridCol w:w="710"/>
        <w:gridCol w:w="456"/>
        <w:gridCol w:w="456"/>
        <w:gridCol w:w="456"/>
        <w:gridCol w:w="456"/>
        <w:gridCol w:w="456"/>
        <w:gridCol w:w="510"/>
      </w:tblGrid>
      <w:tr w:rsidR="00636879" w14:paraId="40D08BC7" w14:textId="77777777" w:rsidTr="00636879">
        <w:tc>
          <w:tcPr>
            <w:tcW w:w="5225" w:type="dxa"/>
          </w:tcPr>
          <w:p w14:paraId="0759951D" w14:textId="77777777" w:rsidR="00636879" w:rsidRDefault="00636879" w:rsidP="00C72B9B"/>
        </w:tc>
        <w:tc>
          <w:tcPr>
            <w:tcW w:w="710" w:type="dxa"/>
          </w:tcPr>
          <w:p w14:paraId="398760C1" w14:textId="2EC23737" w:rsidR="00636879" w:rsidRDefault="00636879" w:rsidP="00C72B9B">
            <w:pPr>
              <w:jc w:val="center"/>
            </w:pPr>
            <w:r>
              <w:t>Type</w:t>
            </w:r>
          </w:p>
        </w:tc>
        <w:tc>
          <w:tcPr>
            <w:tcW w:w="456" w:type="dxa"/>
          </w:tcPr>
          <w:p w14:paraId="12BA2466" w14:textId="7463F3A8" w:rsidR="00636879" w:rsidRDefault="00636879" w:rsidP="00C72B9B">
            <w:pPr>
              <w:jc w:val="center"/>
            </w:pPr>
            <w:r>
              <w:t>A</w:t>
            </w:r>
          </w:p>
        </w:tc>
        <w:tc>
          <w:tcPr>
            <w:tcW w:w="456" w:type="dxa"/>
          </w:tcPr>
          <w:p w14:paraId="0A130CA3" w14:textId="77777777" w:rsidR="00636879" w:rsidRDefault="00636879" w:rsidP="00C72B9B">
            <w:pPr>
              <w:jc w:val="center"/>
            </w:pPr>
            <w:r>
              <w:t>B</w:t>
            </w:r>
          </w:p>
        </w:tc>
        <w:tc>
          <w:tcPr>
            <w:tcW w:w="456" w:type="dxa"/>
          </w:tcPr>
          <w:p w14:paraId="17D889CE" w14:textId="77777777" w:rsidR="00636879" w:rsidRDefault="00636879" w:rsidP="00C72B9B">
            <w:pPr>
              <w:jc w:val="center"/>
            </w:pPr>
            <w:r>
              <w:t>C</w:t>
            </w:r>
          </w:p>
        </w:tc>
        <w:tc>
          <w:tcPr>
            <w:tcW w:w="456" w:type="dxa"/>
          </w:tcPr>
          <w:p w14:paraId="692B6D57" w14:textId="77777777" w:rsidR="00636879" w:rsidRDefault="00636879" w:rsidP="00C72B9B">
            <w:pPr>
              <w:jc w:val="center"/>
            </w:pPr>
            <w:r>
              <w:t>D</w:t>
            </w:r>
          </w:p>
        </w:tc>
        <w:tc>
          <w:tcPr>
            <w:tcW w:w="456" w:type="dxa"/>
          </w:tcPr>
          <w:p w14:paraId="420E83B6" w14:textId="77777777" w:rsidR="00636879" w:rsidRDefault="00636879" w:rsidP="00C72B9B">
            <w:pPr>
              <w:jc w:val="center"/>
            </w:pPr>
            <w:r>
              <w:t>F</w:t>
            </w:r>
          </w:p>
        </w:tc>
        <w:tc>
          <w:tcPr>
            <w:tcW w:w="510" w:type="dxa"/>
          </w:tcPr>
          <w:p w14:paraId="103DA723" w14:textId="35D66CEF" w:rsidR="00636879" w:rsidRDefault="00636879" w:rsidP="00C72B9B">
            <w:pPr>
              <w:jc w:val="center"/>
            </w:pPr>
            <w:r>
              <w:t>W</w:t>
            </w:r>
          </w:p>
        </w:tc>
      </w:tr>
      <w:tr w:rsidR="00636879" w14:paraId="70D94543" w14:textId="77777777" w:rsidTr="00636879">
        <w:tc>
          <w:tcPr>
            <w:tcW w:w="5225" w:type="dxa"/>
          </w:tcPr>
          <w:p w14:paraId="1B8F1D7F" w14:textId="259049DC" w:rsidR="00636879" w:rsidRDefault="00636879" w:rsidP="00C72B9B">
            <w:r>
              <w:lastRenderedPageBreak/>
              <w:t xml:space="preserve">CSC1010 – Introduction to Computer Science </w:t>
            </w:r>
          </w:p>
        </w:tc>
        <w:tc>
          <w:tcPr>
            <w:tcW w:w="710" w:type="dxa"/>
          </w:tcPr>
          <w:p w14:paraId="67427048" w14:textId="7DD587D3" w:rsidR="00636879" w:rsidRDefault="00636879" w:rsidP="00C72B9B">
            <w:r>
              <w:t xml:space="preserve"> </w:t>
            </w:r>
            <w:r w:rsidR="00141694">
              <w:t xml:space="preserve"> </w:t>
            </w:r>
            <w:r>
              <w:t>G</w:t>
            </w:r>
          </w:p>
        </w:tc>
        <w:tc>
          <w:tcPr>
            <w:tcW w:w="456" w:type="dxa"/>
          </w:tcPr>
          <w:p w14:paraId="5C6B608F" w14:textId="1D0B8988" w:rsidR="00636879" w:rsidRDefault="00636879" w:rsidP="00C72B9B">
            <w:pPr>
              <w:jc w:val="center"/>
            </w:pPr>
            <w:r>
              <w:t>52</w:t>
            </w:r>
          </w:p>
        </w:tc>
        <w:tc>
          <w:tcPr>
            <w:tcW w:w="456" w:type="dxa"/>
          </w:tcPr>
          <w:p w14:paraId="1E643C79" w14:textId="5D04D1A6" w:rsidR="00636879" w:rsidRDefault="00636879" w:rsidP="00C72B9B">
            <w:pPr>
              <w:jc w:val="center"/>
            </w:pPr>
            <w:r>
              <w:t>23</w:t>
            </w:r>
          </w:p>
        </w:tc>
        <w:tc>
          <w:tcPr>
            <w:tcW w:w="456" w:type="dxa"/>
          </w:tcPr>
          <w:p w14:paraId="06709E5D" w14:textId="78CF0054" w:rsidR="00636879" w:rsidRDefault="00636879" w:rsidP="00C72B9B">
            <w:pPr>
              <w:jc w:val="center"/>
            </w:pPr>
            <w:r>
              <w:t>11</w:t>
            </w:r>
          </w:p>
        </w:tc>
        <w:tc>
          <w:tcPr>
            <w:tcW w:w="456" w:type="dxa"/>
          </w:tcPr>
          <w:p w14:paraId="2978164D" w14:textId="6A4524EF" w:rsidR="00636879" w:rsidRDefault="00636879" w:rsidP="00C72B9B">
            <w:pPr>
              <w:jc w:val="center"/>
            </w:pPr>
            <w:r>
              <w:t>2</w:t>
            </w:r>
          </w:p>
        </w:tc>
        <w:tc>
          <w:tcPr>
            <w:tcW w:w="456" w:type="dxa"/>
          </w:tcPr>
          <w:p w14:paraId="7EFC4A81" w14:textId="11A1BB3F" w:rsidR="00636879" w:rsidRDefault="00636879" w:rsidP="00C72B9B">
            <w:pPr>
              <w:jc w:val="center"/>
            </w:pPr>
            <w:r>
              <w:t>5</w:t>
            </w:r>
          </w:p>
        </w:tc>
        <w:tc>
          <w:tcPr>
            <w:tcW w:w="510" w:type="dxa"/>
          </w:tcPr>
          <w:p w14:paraId="770D3FEB" w14:textId="7E1DCF48" w:rsidR="00636879" w:rsidRDefault="00636879" w:rsidP="00C72B9B">
            <w:pPr>
              <w:jc w:val="center"/>
            </w:pPr>
            <w:r>
              <w:t>5</w:t>
            </w:r>
          </w:p>
        </w:tc>
      </w:tr>
      <w:tr w:rsidR="00636879" w14:paraId="35A7FE38" w14:textId="77777777" w:rsidTr="00636879">
        <w:trPr>
          <w:trHeight w:val="332"/>
        </w:trPr>
        <w:tc>
          <w:tcPr>
            <w:tcW w:w="5225" w:type="dxa"/>
          </w:tcPr>
          <w:p w14:paraId="5A431579" w14:textId="70B92971" w:rsidR="00636879" w:rsidRDefault="00636879" w:rsidP="00C72B9B">
            <w:r>
              <w:t xml:space="preserve">CSC1700 – Introduction to Computer Programming </w:t>
            </w:r>
          </w:p>
        </w:tc>
        <w:tc>
          <w:tcPr>
            <w:tcW w:w="710" w:type="dxa"/>
          </w:tcPr>
          <w:p w14:paraId="251FEBF3" w14:textId="21095383" w:rsidR="00636879" w:rsidRDefault="00636879" w:rsidP="00C72B9B">
            <w:r>
              <w:t xml:space="preserve"> </w:t>
            </w:r>
            <w:r w:rsidR="00141694">
              <w:t xml:space="preserve"> </w:t>
            </w:r>
            <w:r>
              <w:t>R</w:t>
            </w:r>
          </w:p>
        </w:tc>
        <w:tc>
          <w:tcPr>
            <w:tcW w:w="456" w:type="dxa"/>
            <w:vAlign w:val="bottom"/>
          </w:tcPr>
          <w:p w14:paraId="5A9B9FCB" w14:textId="7467BDFA" w:rsidR="00636879" w:rsidRDefault="00636879" w:rsidP="00C72B9B">
            <w:pPr>
              <w:jc w:val="center"/>
            </w:pPr>
            <w:r>
              <w:rPr>
                <w:rFonts w:ascii="Calibri" w:hAnsi="Calibri" w:cs="Calibri"/>
                <w:color w:val="000000"/>
                <w:sz w:val="22"/>
                <w:szCs w:val="22"/>
              </w:rPr>
              <w:t>30</w:t>
            </w:r>
          </w:p>
        </w:tc>
        <w:tc>
          <w:tcPr>
            <w:tcW w:w="456" w:type="dxa"/>
            <w:vAlign w:val="bottom"/>
          </w:tcPr>
          <w:p w14:paraId="1F4E0A9C" w14:textId="0C093D91" w:rsidR="00636879" w:rsidRDefault="00636879" w:rsidP="00C72B9B">
            <w:pPr>
              <w:jc w:val="center"/>
            </w:pPr>
            <w:r>
              <w:rPr>
                <w:rFonts w:ascii="Calibri" w:hAnsi="Calibri" w:cs="Calibri"/>
                <w:color w:val="000000"/>
                <w:sz w:val="22"/>
                <w:szCs w:val="22"/>
              </w:rPr>
              <w:t>28</w:t>
            </w:r>
          </w:p>
        </w:tc>
        <w:tc>
          <w:tcPr>
            <w:tcW w:w="456" w:type="dxa"/>
            <w:vAlign w:val="bottom"/>
          </w:tcPr>
          <w:p w14:paraId="0FF9D0AD" w14:textId="5D6D136F" w:rsidR="00636879" w:rsidRDefault="00636879" w:rsidP="00C72B9B">
            <w:pPr>
              <w:jc w:val="center"/>
            </w:pPr>
            <w:r>
              <w:rPr>
                <w:rFonts w:ascii="Calibri" w:hAnsi="Calibri" w:cs="Calibri"/>
                <w:color w:val="000000"/>
                <w:sz w:val="22"/>
                <w:szCs w:val="22"/>
              </w:rPr>
              <w:t>16</w:t>
            </w:r>
          </w:p>
        </w:tc>
        <w:tc>
          <w:tcPr>
            <w:tcW w:w="456" w:type="dxa"/>
            <w:vAlign w:val="bottom"/>
          </w:tcPr>
          <w:p w14:paraId="7DC733B1" w14:textId="6748CC7C" w:rsidR="00636879" w:rsidRDefault="00636879" w:rsidP="00C72B9B">
            <w:pPr>
              <w:jc w:val="center"/>
            </w:pPr>
            <w:r>
              <w:rPr>
                <w:rFonts w:ascii="Calibri" w:hAnsi="Calibri" w:cs="Calibri"/>
                <w:color w:val="000000"/>
                <w:sz w:val="22"/>
                <w:szCs w:val="22"/>
              </w:rPr>
              <w:t>5</w:t>
            </w:r>
          </w:p>
        </w:tc>
        <w:tc>
          <w:tcPr>
            <w:tcW w:w="456" w:type="dxa"/>
            <w:vAlign w:val="bottom"/>
          </w:tcPr>
          <w:p w14:paraId="5E170C01" w14:textId="2BFC8944" w:rsidR="00636879" w:rsidRDefault="00636879" w:rsidP="00C72B9B">
            <w:pPr>
              <w:jc w:val="center"/>
            </w:pPr>
            <w:r>
              <w:rPr>
                <w:rFonts w:ascii="Calibri" w:hAnsi="Calibri" w:cs="Calibri"/>
                <w:color w:val="000000"/>
                <w:sz w:val="22"/>
                <w:szCs w:val="22"/>
              </w:rPr>
              <w:t>9</w:t>
            </w:r>
          </w:p>
        </w:tc>
        <w:tc>
          <w:tcPr>
            <w:tcW w:w="510" w:type="dxa"/>
            <w:vAlign w:val="bottom"/>
          </w:tcPr>
          <w:p w14:paraId="66A6008B" w14:textId="58A601C7" w:rsidR="00636879" w:rsidRDefault="00636879" w:rsidP="00C72B9B">
            <w:pPr>
              <w:jc w:val="center"/>
              <w:rPr>
                <w:rFonts w:ascii="Calibri" w:hAnsi="Calibri" w:cs="Calibri"/>
                <w:color w:val="000000"/>
                <w:sz w:val="22"/>
                <w:szCs w:val="22"/>
              </w:rPr>
            </w:pPr>
            <w:r>
              <w:rPr>
                <w:rFonts w:ascii="Calibri" w:hAnsi="Calibri" w:cs="Calibri"/>
                <w:color w:val="000000"/>
                <w:sz w:val="22"/>
                <w:szCs w:val="22"/>
              </w:rPr>
              <w:t>12</w:t>
            </w:r>
          </w:p>
        </w:tc>
      </w:tr>
      <w:tr w:rsidR="006352A3" w14:paraId="0E6A989B" w14:textId="77777777" w:rsidTr="00636879">
        <w:tc>
          <w:tcPr>
            <w:tcW w:w="5225" w:type="dxa"/>
          </w:tcPr>
          <w:p w14:paraId="7D750450" w14:textId="6A61D8B8" w:rsidR="006352A3" w:rsidRDefault="006352A3" w:rsidP="00DC12F0">
            <w:r>
              <w:t>CSC2200 –  Intro Web Application Development</w:t>
            </w:r>
          </w:p>
        </w:tc>
        <w:tc>
          <w:tcPr>
            <w:tcW w:w="710" w:type="dxa"/>
          </w:tcPr>
          <w:p w14:paraId="0D3373E4" w14:textId="46C3FBE9" w:rsidR="006352A3" w:rsidRDefault="006352A3" w:rsidP="007C53BA">
            <w:r>
              <w:t>R</w:t>
            </w:r>
          </w:p>
        </w:tc>
        <w:tc>
          <w:tcPr>
            <w:tcW w:w="456" w:type="dxa"/>
          </w:tcPr>
          <w:p w14:paraId="09F1AB01" w14:textId="184D8762" w:rsidR="006352A3" w:rsidRDefault="006352A3" w:rsidP="00C72B9B">
            <w:pPr>
              <w:jc w:val="center"/>
            </w:pPr>
            <w:r>
              <w:t>37</w:t>
            </w:r>
          </w:p>
        </w:tc>
        <w:tc>
          <w:tcPr>
            <w:tcW w:w="456" w:type="dxa"/>
          </w:tcPr>
          <w:p w14:paraId="1739E92F" w14:textId="136936F6" w:rsidR="006352A3" w:rsidRDefault="006352A3" w:rsidP="00C72B9B">
            <w:pPr>
              <w:jc w:val="center"/>
            </w:pPr>
            <w:r>
              <w:t>30</w:t>
            </w:r>
          </w:p>
        </w:tc>
        <w:tc>
          <w:tcPr>
            <w:tcW w:w="456" w:type="dxa"/>
          </w:tcPr>
          <w:p w14:paraId="23B35CCF" w14:textId="6DD2D403" w:rsidR="006352A3" w:rsidRDefault="006352A3" w:rsidP="007C53BA">
            <w:r>
              <w:t>19</w:t>
            </w:r>
          </w:p>
        </w:tc>
        <w:tc>
          <w:tcPr>
            <w:tcW w:w="456" w:type="dxa"/>
          </w:tcPr>
          <w:p w14:paraId="32FC3589" w14:textId="4C1C58DF" w:rsidR="006352A3" w:rsidRDefault="006352A3" w:rsidP="00C72B9B">
            <w:pPr>
              <w:jc w:val="center"/>
            </w:pPr>
            <w:r>
              <w:t>3</w:t>
            </w:r>
          </w:p>
        </w:tc>
        <w:tc>
          <w:tcPr>
            <w:tcW w:w="456" w:type="dxa"/>
          </w:tcPr>
          <w:p w14:paraId="109E956D" w14:textId="768A3E7F" w:rsidR="006352A3" w:rsidRDefault="006352A3" w:rsidP="00C72B9B">
            <w:pPr>
              <w:jc w:val="center"/>
            </w:pPr>
            <w:r>
              <w:t>5</w:t>
            </w:r>
          </w:p>
        </w:tc>
        <w:tc>
          <w:tcPr>
            <w:tcW w:w="510" w:type="dxa"/>
          </w:tcPr>
          <w:p w14:paraId="2ED7231B" w14:textId="308C8606" w:rsidR="006352A3" w:rsidRDefault="006352A3" w:rsidP="00C72B9B">
            <w:pPr>
              <w:jc w:val="center"/>
            </w:pPr>
            <w:r>
              <w:t>6</w:t>
            </w:r>
          </w:p>
        </w:tc>
      </w:tr>
      <w:tr w:rsidR="00DC12F0" w14:paraId="15673F8D" w14:textId="77777777" w:rsidTr="00636879">
        <w:tc>
          <w:tcPr>
            <w:tcW w:w="5225" w:type="dxa"/>
          </w:tcPr>
          <w:p w14:paraId="5D2B71FE" w14:textId="53EABA0B" w:rsidR="00DC12F0" w:rsidRDefault="00DC12F0" w:rsidP="00DC12F0">
            <w:r>
              <w:t>CSC2300 – Computer Architecture</w:t>
            </w:r>
          </w:p>
        </w:tc>
        <w:tc>
          <w:tcPr>
            <w:tcW w:w="710" w:type="dxa"/>
          </w:tcPr>
          <w:p w14:paraId="66C0F90F" w14:textId="47D88580" w:rsidR="00DC12F0" w:rsidRDefault="00DC12F0" w:rsidP="007C53BA">
            <w:r>
              <w:t>R</w:t>
            </w:r>
          </w:p>
        </w:tc>
        <w:tc>
          <w:tcPr>
            <w:tcW w:w="456" w:type="dxa"/>
          </w:tcPr>
          <w:p w14:paraId="141FA1D9" w14:textId="5C1FCB5A" w:rsidR="00DC12F0" w:rsidRDefault="00DC12F0" w:rsidP="00C72B9B">
            <w:pPr>
              <w:jc w:val="center"/>
            </w:pPr>
            <w:r>
              <w:t>36</w:t>
            </w:r>
          </w:p>
        </w:tc>
        <w:tc>
          <w:tcPr>
            <w:tcW w:w="456" w:type="dxa"/>
          </w:tcPr>
          <w:p w14:paraId="1C90BCCE" w14:textId="1F8E25DB" w:rsidR="00DC12F0" w:rsidRDefault="00DC12F0" w:rsidP="00C72B9B">
            <w:pPr>
              <w:jc w:val="center"/>
            </w:pPr>
            <w:r>
              <w:t>37</w:t>
            </w:r>
          </w:p>
        </w:tc>
        <w:tc>
          <w:tcPr>
            <w:tcW w:w="456" w:type="dxa"/>
          </w:tcPr>
          <w:p w14:paraId="77A7DC6F" w14:textId="11834EF3" w:rsidR="00DC12F0" w:rsidRDefault="00DC12F0" w:rsidP="007C53BA">
            <w:r>
              <w:t>16</w:t>
            </w:r>
          </w:p>
        </w:tc>
        <w:tc>
          <w:tcPr>
            <w:tcW w:w="456" w:type="dxa"/>
          </w:tcPr>
          <w:p w14:paraId="7DC097F7" w14:textId="757882F6" w:rsidR="00DC12F0" w:rsidRDefault="00DC12F0" w:rsidP="00C72B9B">
            <w:pPr>
              <w:jc w:val="center"/>
            </w:pPr>
            <w:r>
              <w:t>3</w:t>
            </w:r>
          </w:p>
        </w:tc>
        <w:tc>
          <w:tcPr>
            <w:tcW w:w="456" w:type="dxa"/>
          </w:tcPr>
          <w:p w14:paraId="6092D27E" w14:textId="2B450A89" w:rsidR="00DC12F0" w:rsidRDefault="00DC12F0" w:rsidP="00C72B9B">
            <w:pPr>
              <w:jc w:val="center"/>
            </w:pPr>
            <w:r>
              <w:t>7</w:t>
            </w:r>
          </w:p>
        </w:tc>
        <w:tc>
          <w:tcPr>
            <w:tcW w:w="510" w:type="dxa"/>
          </w:tcPr>
          <w:p w14:paraId="7BA21E09" w14:textId="12B1E44B" w:rsidR="00DC12F0" w:rsidRDefault="00DC12F0" w:rsidP="00C72B9B">
            <w:pPr>
              <w:jc w:val="center"/>
            </w:pPr>
            <w:r>
              <w:t>0</w:t>
            </w:r>
          </w:p>
        </w:tc>
      </w:tr>
      <w:tr w:rsidR="00636879" w14:paraId="255A201A" w14:textId="77777777" w:rsidTr="00636879">
        <w:tc>
          <w:tcPr>
            <w:tcW w:w="5225" w:type="dxa"/>
          </w:tcPr>
          <w:p w14:paraId="08D06CF5" w14:textId="61EE0E49" w:rsidR="00636879" w:rsidRDefault="00636879" w:rsidP="00C72B9B">
            <w:r>
              <w:t>CSC2650 – Advanced Programming</w:t>
            </w:r>
          </w:p>
        </w:tc>
        <w:tc>
          <w:tcPr>
            <w:tcW w:w="710" w:type="dxa"/>
          </w:tcPr>
          <w:p w14:paraId="52FD3CDA" w14:textId="198867F8" w:rsidR="00636879" w:rsidRDefault="00636879" w:rsidP="007C53BA">
            <w:r>
              <w:t xml:space="preserve"> </w:t>
            </w:r>
            <w:r w:rsidR="00141694">
              <w:t xml:space="preserve"> </w:t>
            </w:r>
            <w:r>
              <w:t>R</w:t>
            </w:r>
          </w:p>
        </w:tc>
        <w:tc>
          <w:tcPr>
            <w:tcW w:w="456" w:type="dxa"/>
          </w:tcPr>
          <w:p w14:paraId="3EF0B8D6" w14:textId="413F02CE" w:rsidR="00636879" w:rsidRDefault="00636879" w:rsidP="00C72B9B">
            <w:pPr>
              <w:jc w:val="center"/>
            </w:pPr>
            <w:r>
              <w:t>23</w:t>
            </w:r>
          </w:p>
        </w:tc>
        <w:tc>
          <w:tcPr>
            <w:tcW w:w="456" w:type="dxa"/>
          </w:tcPr>
          <w:p w14:paraId="33EFCEAC" w14:textId="77777777" w:rsidR="00636879" w:rsidRDefault="00636879" w:rsidP="00C72B9B">
            <w:pPr>
              <w:jc w:val="center"/>
            </w:pPr>
            <w:r>
              <w:t>31</w:t>
            </w:r>
          </w:p>
        </w:tc>
        <w:tc>
          <w:tcPr>
            <w:tcW w:w="456" w:type="dxa"/>
          </w:tcPr>
          <w:p w14:paraId="11D869AA" w14:textId="751033CE" w:rsidR="00636879" w:rsidRDefault="00636879" w:rsidP="007C53BA">
            <w:r>
              <w:t>22</w:t>
            </w:r>
          </w:p>
        </w:tc>
        <w:tc>
          <w:tcPr>
            <w:tcW w:w="456" w:type="dxa"/>
          </w:tcPr>
          <w:p w14:paraId="365A55AE" w14:textId="5E937839" w:rsidR="00636879" w:rsidRDefault="00636879" w:rsidP="00C72B9B">
            <w:pPr>
              <w:jc w:val="center"/>
            </w:pPr>
            <w:r>
              <w:t>6</w:t>
            </w:r>
          </w:p>
        </w:tc>
        <w:tc>
          <w:tcPr>
            <w:tcW w:w="456" w:type="dxa"/>
          </w:tcPr>
          <w:p w14:paraId="4295D385" w14:textId="4D310FE3" w:rsidR="00636879" w:rsidRDefault="00636879" w:rsidP="00C72B9B">
            <w:pPr>
              <w:jc w:val="center"/>
            </w:pPr>
            <w:r>
              <w:t>4</w:t>
            </w:r>
          </w:p>
        </w:tc>
        <w:tc>
          <w:tcPr>
            <w:tcW w:w="510" w:type="dxa"/>
          </w:tcPr>
          <w:p w14:paraId="1E93B2FE" w14:textId="781D674D" w:rsidR="00636879" w:rsidRDefault="00636879" w:rsidP="00C72B9B">
            <w:pPr>
              <w:jc w:val="center"/>
            </w:pPr>
            <w:r>
              <w:t>9</w:t>
            </w:r>
          </w:p>
        </w:tc>
      </w:tr>
      <w:tr w:rsidR="00141694" w14:paraId="2F07869E" w14:textId="77777777" w:rsidTr="007A5E1B">
        <w:tc>
          <w:tcPr>
            <w:tcW w:w="5225" w:type="dxa"/>
          </w:tcPr>
          <w:p w14:paraId="0D8E48A9" w14:textId="06D7A2AD" w:rsidR="00141694" w:rsidRDefault="00141694" w:rsidP="00141694">
            <w:r>
              <w:t>CSC3610 – Data Structures</w:t>
            </w:r>
          </w:p>
        </w:tc>
        <w:tc>
          <w:tcPr>
            <w:tcW w:w="710" w:type="dxa"/>
          </w:tcPr>
          <w:p w14:paraId="1FDFC7A6" w14:textId="16ABC50F" w:rsidR="00141694" w:rsidRDefault="00141694" w:rsidP="00141694">
            <w:pPr>
              <w:jc w:val="center"/>
            </w:pPr>
            <w:r>
              <w:t>R</w:t>
            </w:r>
          </w:p>
        </w:tc>
        <w:tc>
          <w:tcPr>
            <w:tcW w:w="456" w:type="dxa"/>
            <w:vAlign w:val="bottom"/>
          </w:tcPr>
          <w:p w14:paraId="26862C40" w14:textId="7162C31F" w:rsidR="00141694" w:rsidRDefault="00141694" w:rsidP="00141694">
            <w:pPr>
              <w:jc w:val="center"/>
            </w:pPr>
            <w:r>
              <w:rPr>
                <w:rFonts w:ascii="Calibri" w:hAnsi="Calibri" w:cs="Calibri"/>
                <w:color w:val="000000"/>
                <w:sz w:val="22"/>
                <w:szCs w:val="22"/>
              </w:rPr>
              <w:t>30</w:t>
            </w:r>
          </w:p>
        </w:tc>
        <w:tc>
          <w:tcPr>
            <w:tcW w:w="456" w:type="dxa"/>
            <w:vAlign w:val="bottom"/>
          </w:tcPr>
          <w:p w14:paraId="045C5737" w14:textId="7A79AA91" w:rsidR="00141694" w:rsidRDefault="00141694" w:rsidP="00141694">
            <w:pPr>
              <w:jc w:val="center"/>
            </w:pPr>
            <w:r>
              <w:rPr>
                <w:rFonts w:ascii="Calibri" w:hAnsi="Calibri" w:cs="Calibri"/>
                <w:color w:val="000000"/>
                <w:sz w:val="22"/>
                <w:szCs w:val="22"/>
              </w:rPr>
              <w:t>40</w:t>
            </w:r>
          </w:p>
        </w:tc>
        <w:tc>
          <w:tcPr>
            <w:tcW w:w="456" w:type="dxa"/>
            <w:vAlign w:val="bottom"/>
          </w:tcPr>
          <w:p w14:paraId="658A82CA" w14:textId="6E6B2CC3" w:rsidR="00141694" w:rsidRDefault="00141694" w:rsidP="00141694">
            <w:pPr>
              <w:jc w:val="center"/>
            </w:pPr>
            <w:r>
              <w:rPr>
                <w:rFonts w:ascii="Calibri" w:hAnsi="Calibri" w:cs="Calibri"/>
                <w:color w:val="000000"/>
                <w:sz w:val="22"/>
                <w:szCs w:val="22"/>
              </w:rPr>
              <w:t>20</w:t>
            </w:r>
          </w:p>
        </w:tc>
        <w:tc>
          <w:tcPr>
            <w:tcW w:w="456" w:type="dxa"/>
            <w:vAlign w:val="bottom"/>
          </w:tcPr>
          <w:p w14:paraId="0DC866DD" w14:textId="60A57989" w:rsidR="00141694" w:rsidRDefault="00141694" w:rsidP="00141694">
            <w:pPr>
              <w:jc w:val="center"/>
            </w:pPr>
            <w:r>
              <w:rPr>
                <w:rFonts w:ascii="Calibri" w:hAnsi="Calibri" w:cs="Calibri"/>
                <w:color w:val="000000"/>
                <w:sz w:val="22"/>
                <w:szCs w:val="22"/>
              </w:rPr>
              <w:t>0</w:t>
            </w:r>
          </w:p>
        </w:tc>
        <w:tc>
          <w:tcPr>
            <w:tcW w:w="456" w:type="dxa"/>
            <w:vAlign w:val="bottom"/>
          </w:tcPr>
          <w:p w14:paraId="5C1ED9D7" w14:textId="40F66D4C" w:rsidR="00141694" w:rsidRDefault="00141694" w:rsidP="00141694">
            <w:pPr>
              <w:jc w:val="center"/>
            </w:pPr>
            <w:r>
              <w:rPr>
                <w:rFonts w:ascii="Calibri" w:hAnsi="Calibri" w:cs="Calibri"/>
                <w:color w:val="000000"/>
                <w:sz w:val="22"/>
                <w:szCs w:val="22"/>
              </w:rPr>
              <w:t>0</w:t>
            </w:r>
          </w:p>
        </w:tc>
        <w:tc>
          <w:tcPr>
            <w:tcW w:w="510" w:type="dxa"/>
            <w:vAlign w:val="bottom"/>
          </w:tcPr>
          <w:p w14:paraId="6096C8CA" w14:textId="4E39B399" w:rsidR="00141694" w:rsidRDefault="00141694" w:rsidP="00141694">
            <w:pPr>
              <w:jc w:val="center"/>
            </w:pPr>
            <w:r>
              <w:rPr>
                <w:rFonts w:ascii="Calibri" w:hAnsi="Calibri" w:cs="Calibri"/>
                <w:color w:val="000000"/>
                <w:sz w:val="22"/>
                <w:szCs w:val="22"/>
              </w:rPr>
              <w:t>0</w:t>
            </w:r>
          </w:p>
        </w:tc>
      </w:tr>
      <w:tr w:rsidR="00A52CE7" w14:paraId="09370CC4" w14:textId="77777777" w:rsidTr="00636879">
        <w:tc>
          <w:tcPr>
            <w:tcW w:w="5225" w:type="dxa"/>
          </w:tcPr>
          <w:p w14:paraId="2BB19543" w14:textId="18FB883F" w:rsidR="00A52CE7" w:rsidRDefault="00A52CE7" w:rsidP="00C72B9B">
            <w:r>
              <w:t>CSC4350 – Software Engineers</w:t>
            </w:r>
          </w:p>
        </w:tc>
        <w:tc>
          <w:tcPr>
            <w:tcW w:w="710" w:type="dxa"/>
          </w:tcPr>
          <w:p w14:paraId="56B8045B" w14:textId="04A6A5C4" w:rsidR="00A52CE7" w:rsidRDefault="00A52CE7" w:rsidP="00C72B9B">
            <w:pPr>
              <w:jc w:val="center"/>
            </w:pPr>
            <w:r>
              <w:t>R</w:t>
            </w:r>
          </w:p>
        </w:tc>
        <w:tc>
          <w:tcPr>
            <w:tcW w:w="456" w:type="dxa"/>
          </w:tcPr>
          <w:p w14:paraId="6C8BE8CE" w14:textId="03DAA3D5" w:rsidR="00A52CE7" w:rsidRDefault="00A52CE7" w:rsidP="00C72B9B">
            <w:pPr>
              <w:jc w:val="center"/>
            </w:pPr>
            <w:r>
              <w:t>29</w:t>
            </w:r>
          </w:p>
        </w:tc>
        <w:tc>
          <w:tcPr>
            <w:tcW w:w="456" w:type="dxa"/>
          </w:tcPr>
          <w:p w14:paraId="4E6F0731" w14:textId="40C47BEE" w:rsidR="00A52CE7" w:rsidRDefault="00A52CE7" w:rsidP="00C72B9B">
            <w:pPr>
              <w:jc w:val="center"/>
            </w:pPr>
            <w:r>
              <w:t>49</w:t>
            </w:r>
          </w:p>
        </w:tc>
        <w:tc>
          <w:tcPr>
            <w:tcW w:w="456" w:type="dxa"/>
          </w:tcPr>
          <w:p w14:paraId="1473D36C" w14:textId="5C612E48" w:rsidR="00A52CE7" w:rsidRDefault="00A52CE7" w:rsidP="00C72B9B">
            <w:pPr>
              <w:jc w:val="center"/>
            </w:pPr>
            <w:r>
              <w:t>19</w:t>
            </w:r>
          </w:p>
        </w:tc>
        <w:tc>
          <w:tcPr>
            <w:tcW w:w="456" w:type="dxa"/>
          </w:tcPr>
          <w:p w14:paraId="3A8289F0" w14:textId="1739732D" w:rsidR="00A52CE7" w:rsidRDefault="00A52CE7" w:rsidP="00C72B9B">
            <w:pPr>
              <w:jc w:val="center"/>
            </w:pPr>
            <w:r>
              <w:t>0</w:t>
            </w:r>
          </w:p>
        </w:tc>
        <w:tc>
          <w:tcPr>
            <w:tcW w:w="456" w:type="dxa"/>
          </w:tcPr>
          <w:p w14:paraId="3CF27C67" w14:textId="120431DC" w:rsidR="00A52CE7" w:rsidRDefault="00A52CE7" w:rsidP="00C72B9B">
            <w:pPr>
              <w:jc w:val="center"/>
            </w:pPr>
            <w:r>
              <w:t>2</w:t>
            </w:r>
          </w:p>
        </w:tc>
        <w:tc>
          <w:tcPr>
            <w:tcW w:w="510" w:type="dxa"/>
          </w:tcPr>
          <w:p w14:paraId="3D9B4872" w14:textId="45F9745A" w:rsidR="00A52CE7" w:rsidRDefault="00A52CE7" w:rsidP="00C72B9B">
            <w:pPr>
              <w:jc w:val="center"/>
            </w:pPr>
            <w:r>
              <w:t>1</w:t>
            </w:r>
          </w:p>
        </w:tc>
      </w:tr>
      <w:tr w:rsidR="00636879" w14:paraId="1BA2B356" w14:textId="77777777" w:rsidTr="00636879">
        <w:tc>
          <w:tcPr>
            <w:tcW w:w="5225" w:type="dxa"/>
          </w:tcPr>
          <w:p w14:paraId="4EC43264" w14:textId="33C495B1" w:rsidR="00636879" w:rsidRDefault="00145A27" w:rsidP="00C72B9B">
            <w:r>
              <w:t>CSC4500</w:t>
            </w:r>
            <w:r w:rsidR="00D25F36">
              <w:t xml:space="preserve"> –</w:t>
            </w:r>
            <w:r>
              <w:t xml:space="preserve"> Database</w:t>
            </w:r>
            <w:r w:rsidR="00D25F36">
              <w:t xml:space="preserve"> Systems</w:t>
            </w:r>
          </w:p>
        </w:tc>
        <w:tc>
          <w:tcPr>
            <w:tcW w:w="710" w:type="dxa"/>
          </w:tcPr>
          <w:p w14:paraId="43DC5253" w14:textId="6B2A7B82" w:rsidR="00636879" w:rsidRDefault="001B6D46" w:rsidP="00C72B9B">
            <w:pPr>
              <w:jc w:val="center"/>
            </w:pPr>
            <w:r>
              <w:t>R</w:t>
            </w:r>
          </w:p>
        </w:tc>
        <w:tc>
          <w:tcPr>
            <w:tcW w:w="456" w:type="dxa"/>
          </w:tcPr>
          <w:p w14:paraId="57CDFBBF" w14:textId="5253A6DD" w:rsidR="00636879" w:rsidRDefault="00145A27" w:rsidP="00C72B9B">
            <w:pPr>
              <w:jc w:val="center"/>
            </w:pPr>
            <w:r>
              <w:t>42</w:t>
            </w:r>
          </w:p>
        </w:tc>
        <w:tc>
          <w:tcPr>
            <w:tcW w:w="456" w:type="dxa"/>
          </w:tcPr>
          <w:p w14:paraId="143FAAED" w14:textId="708BE961" w:rsidR="00636879" w:rsidRDefault="00145A27" w:rsidP="00C72B9B">
            <w:pPr>
              <w:jc w:val="center"/>
            </w:pPr>
            <w:r>
              <w:t>42</w:t>
            </w:r>
          </w:p>
        </w:tc>
        <w:tc>
          <w:tcPr>
            <w:tcW w:w="456" w:type="dxa"/>
          </w:tcPr>
          <w:p w14:paraId="698D0616" w14:textId="60A9D5DB" w:rsidR="00636879" w:rsidRDefault="00145A27" w:rsidP="00C72B9B">
            <w:pPr>
              <w:jc w:val="center"/>
            </w:pPr>
            <w:r>
              <w:t>11</w:t>
            </w:r>
          </w:p>
        </w:tc>
        <w:tc>
          <w:tcPr>
            <w:tcW w:w="456" w:type="dxa"/>
          </w:tcPr>
          <w:p w14:paraId="622F587A" w14:textId="78A808F1" w:rsidR="00636879" w:rsidRDefault="00145A27" w:rsidP="00C72B9B">
            <w:pPr>
              <w:jc w:val="center"/>
            </w:pPr>
            <w:r>
              <w:t>2</w:t>
            </w:r>
          </w:p>
        </w:tc>
        <w:tc>
          <w:tcPr>
            <w:tcW w:w="456" w:type="dxa"/>
          </w:tcPr>
          <w:p w14:paraId="4D621C08" w14:textId="07EC1173" w:rsidR="00636879" w:rsidRDefault="00145A27" w:rsidP="00C72B9B">
            <w:pPr>
              <w:jc w:val="center"/>
            </w:pPr>
            <w:r>
              <w:t>2</w:t>
            </w:r>
          </w:p>
        </w:tc>
        <w:tc>
          <w:tcPr>
            <w:tcW w:w="510" w:type="dxa"/>
          </w:tcPr>
          <w:p w14:paraId="4421DC50" w14:textId="182B4635" w:rsidR="00636879" w:rsidRDefault="00145A27" w:rsidP="00C72B9B">
            <w:pPr>
              <w:jc w:val="center"/>
            </w:pPr>
            <w:r>
              <w:t>1</w:t>
            </w:r>
          </w:p>
        </w:tc>
      </w:tr>
      <w:tr w:rsidR="006352A3" w14:paraId="52B59D86" w14:textId="77777777" w:rsidTr="00636879">
        <w:tc>
          <w:tcPr>
            <w:tcW w:w="5225" w:type="dxa"/>
          </w:tcPr>
          <w:p w14:paraId="657FA82A" w14:textId="36138D66" w:rsidR="00A52CE7" w:rsidRDefault="00A52CE7" w:rsidP="00C72B9B">
            <w:r>
              <w:t>CSC4990 – Senior Capstone</w:t>
            </w:r>
          </w:p>
        </w:tc>
        <w:tc>
          <w:tcPr>
            <w:tcW w:w="710" w:type="dxa"/>
          </w:tcPr>
          <w:p w14:paraId="6D634A3E" w14:textId="37A1018C" w:rsidR="006352A3" w:rsidRDefault="00A52CE7" w:rsidP="00C72B9B">
            <w:pPr>
              <w:jc w:val="center"/>
            </w:pPr>
            <w:r>
              <w:t>R</w:t>
            </w:r>
          </w:p>
        </w:tc>
        <w:tc>
          <w:tcPr>
            <w:tcW w:w="456" w:type="dxa"/>
          </w:tcPr>
          <w:p w14:paraId="15241773" w14:textId="09CD21B5" w:rsidR="006352A3" w:rsidRDefault="00A52CE7" w:rsidP="00C72B9B">
            <w:pPr>
              <w:jc w:val="center"/>
            </w:pPr>
            <w:r>
              <w:t>43</w:t>
            </w:r>
          </w:p>
        </w:tc>
        <w:tc>
          <w:tcPr>
            <w:tcW w:w="456" w:type="dxa"/>
          </w:tcPr>
          <w:p w14:paraId="24A4520C" w14:textId="22D589EB" w:rsidR="006352A3" w:rsidRDefault="00A52CE7" w:rsidP="00C72B9B">
            <w:pPr>
              <w:jc w:val="center"/>
            </w:pPr>
            <w:r>
              <w:t>22</w:t>
            </w:r>
          </w:p>
        </w:tc>
        <w:tc>
          <w:tcPr>
            <w:tcW w:w="456" w:type="dxa"/>
          </w:tcPr>
          <w:p w14:paraId="4EEC63D6" w14:textId="7518D469" w:rsidR="006352A3" w:rsidRDefault="00A52CE7" w:rsidP="00C72B9B">
            <w:pPr>
              <w:jc w:val="center"/>
            </w:pPr>
            <w:r>
              <w:t>8</w:t>
            </w:r>
          </w:p>
        </w:tc>
        <w:tc>
          <w:tcPr>
            <w:tcW w:w="456" w:type="dxa"/>
          </w:tcPr>
          <w:p w14:paraId="5DBEDB89" w14:textId="0E6047A7" w:rsidR="006352A3" w:rsidRDefault="00A52CE7" w:rsidP="00C72B9B">
            <w:pPr>
              <w:jc w:val="center"/>
            </w:pPr>
            <w:r>
              <w:t>0</w:t>
            </w:r>
          </w:p>
        </w:tc>
        <w:tc>
          <w:tcPr>
            <w:tcW w:w="456" w:type="dxa"/>
          </w:tcPr>
          <w:p w14:paraId="7DF90BF4" w14:textId="1EA97E8D" w:rsidR="006352A3" w:rsidRDefault="00A52CE7" w:rsidP="00C72B9B">
            <w:pPr>
              <w:jc w:val="center"/>
            </w:pPr>
            <w:r>
              <w:t>0</w:t>
            </w:r>
          </w:p>
        </w:tc>
        <w:tc>
          <w:tcPr>
            <w:tcW w:w="510" w:type="dxa"/>
          </w:tcPr>
          <w:p w14:paraId="564C9324" w14:textId="6768B97E" w:rsidR="006352A3" w:rsidRDefault="00A52CE7" w:rsidP="00C72B9B">
            <w:pPr>
              <w:jc w:val="center"/>
            </w:pPr>
            <w:r>
              <w:t>0</w:t>
            </w:r>
          </w:p>
        </w:tc>
      </w:tr>
    </w:tbl>
    <w:p w14:paraId="0478FDA3" w14:textId="77777777" w:rsidR="006352A3" w:rsidRDefault="006352A3" w:rsidP="00B62591">
      <w:pPr>
        <w:ind w:left="1080"/>
        <w:rPr>
          <w:sz w:val="20"/>
        </w:rPr>
      </w:pPr>
    </w:p>
    <w:p w14:paraId="1CAFB9A9" w14:textId="49C988F4" w:rsidR="00786668" w:rsidRDefault="00786668" w:rsidP="00B62591">
      <w:pPr>
        <w:ind w:left="1080"/>
        <w:rPr>
          <w:sz w:val="20"/>
        </w:rPr>
      </w:pPr>
      <w:r>
        <w:rPr>
          <w:noProof/>
        </w:rPr>
        <w:drawing>
          <wp:inline distT="0" distB="0" distL="0" distR="0" wp14:anchorId="5397D254" wp14:editId="22A5CAAB">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7B6E9F" w14:textId="2016906F" w:rsidR="00B62591" w:rsidRPr="00C0439F" w:rsidRDefault="00B62591" w:rsidP="00B62591">
      <w:pPr>
        <w:ind w:left="1080"/>
      </w:pPr>
      <w:r w:rsidRPr="00C0439F">
        <w:t>Percentages in cells are average grades for each course during the period examined. Special topics courses are not included in Table 5.</w:t>
      </w:r>
    </w:p>
    <w:p w14:paraId="34F72277" w14:textId="07F1FECF" w:rsidR="001E72BF" w:rsidRPr="00C0439F" w:rsidRDefault="001E72BF" w:rsidP="00B62591">
      <w:pPr>
        <w:ind w:left="1080"/>
      </w:pPr>
    </w:p>
    <w:p w14:paraId="0B6F32F0" w14:textId="2F0BDDD5" w:rsidR="00F978AB" w:rsidRPr="00C0439F" w:rsidRDefault="001E72BF" w:rsidP="00F978AB">
      <w:pPr>
        <w:ind w:left="1080"/>
      </w:pPr>
      <w:r w:rsidRPr="00C0439F">
        <w:t xml:space="preserve">If we drill down on each course, we can compare reported </w:t>
      </w:r>
      <w:r w:rsidR="00F978AB" w:rsidRPr="00C0439F">
        <w:t xml:space="preserve">student grades </w:t>
      </w:r>
      <w:r w:rsidRPr="00C0439F">
        <w:t xml:space="preserve">per </w:t>
      </w:r>
      <w:r w:rsidR="00F978AB" w:rsidRPr="00C0439F">
        <w:t>the 4 Professors who taught CSC101. Each professor taught at least 2 sections. The data shows a high variance of grade distribution depending upon who taught the class. For example, Professor “A” had 25% of students score an “A” on average but Professor “C” had 62% and Professor “D” had 55% of their class score an “A”.  While this variance might be caused by a student population difference, it is probably more likely that these professors had different performance expectations for the class.</w:t>
      </w:r>
    </w:p>
    <w:p w14:paraId="1539F014" w14:textId="77777777" w:rsidR="00F978AB" w:rsidRDefault="00F978AB" w:rsidP="00F978AB">
      <w:pPr>
        <w:ind w:left="1080"/>
        <w:rPr>
          <w:sz w:val="20"/>
        </w:rPr>
      </w:pPr>
    </w:p>
    <w:p w14:paraId="1588D764" w14:textId="398D115D" w:rsidR="001E72BF" w:rsidRDefault="001E72BF" w:rsidP="00B62591">
      <w:pPr>
        <w:ind w:left="1080"/>
        <w:rPr>
          <w:sz w:val="20"/>
        </w:rPr>
      </w:pPr>
      <w:r>
        <w:rPr>
          <w:noProof/>
        </w:rPr>
        <w:lastRenderedPageBreak/>
        <w:drawing>
          <wp:inline distT="0" distB="0" distL="0" distR="0" wp14:anchorId="73E000F6" wp14:editId="505FDABA">
            <wp:extent cx="3606393" cy="2033626"/>
            <wp:effectExtent l="0" t="0" r="13335"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DF54FD" w14:textId="3F93B613" w:rsidR="001E72BF" w:rsidRDefault="001E72BF" w:rsidP="00B62591">
      <w:pPr>
        <w:ind w:left="1080"/>
      </w:pPr>
    </w:p>
    <w:p w14:paraId="4F347896" w14:textId="77777777" w:rsidR="007C53BA" w:rsidRDefault="007C53BA" w:rsidP="007C53BA">
      <w:pPr>
        <w:ind w:left="1080"/>
        <w:rPr>
          <w:sz w:val="20"/>
        </w:rPr>
      </w:pPr>
      <w:r>
        <w:rPr>
          <w:sz w:val="20"/>
        </w:rPr>
        <w:t>If we drill down on each course, we can compare reported student grades per the 4 Professors who taught CSC101. Each professor taught at least 2 sections. The data shows a high variance of grade distribution depending upon who taught the class. For example, Professor “A” had 25% of students score an “A” on average but Professor “C” had 62% and Professor “D” had 55% of their class score an “A”.  While this variance might be caused by a student population difference, it is probably more likely that these professors had different performance expectations for the class.</w:t>
      </w:r>
    </w:p>
    <w:p w14:paraId="20BCC847" w14:textId="055C0950" w:rsidR="00821804" w:rsidRDefault="00821804" w:rsidP="00B62591">
      <w:pPr>
        <w:ind w:left="1080"/>
      </w:pPr>
    </w:p>
    <w:p w14:paraId="36DDFA69" w14:textId="22B2AF0B" w:rsidR="00821804" w:rsidRDefault="00821804" w:rsidP="00B62591">
      <w:pPr>
        <w:ind w:left="1080"/>
      </w:pPr>
      <w:r>
        <w:t xml:space="preserve">The Average grade per professor for CSC1700 </w:t>
      </w:r>
    </w:p>
    <w:p w14:paraId="3BF21010" w14:textId="3E120166" w:rsidR="00821804" w:rsidRDefault="00821804" w:rsidP="00B62591">
      <w:pPr>
        <w:ind w:left="1080"/>
      </w:pPr>
      <w:r>
        <w:rPr>
          <w:noProof/>
        </w:rPr>
        <w:drawing>
          <wp:inline distT="0" distB="0" distL="0" distR="0" wp14:anchorId="156E0995" wp14:editId="36C112F9">
            <wp:extent cx="3664915" cy="1960473"/>
            <wp:effectExtent l="0" t="0" r="12065"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02EFEE" w14:textId="77777777" w:rsidR="007C53BA" w:rsidRPr="00C0439F" w:rsidRDefault="007C53BA" w:rsidP="007C53BA">
      <w:pPr>
        <w:ind w:left="1080"/>
      </w:pPr>
      <w:r w:rsidRPr="00C0439F">
        <w:t>If we drill down on each course, we can compare reported student grades per the 4 Professors who taught CSC101. Each professor taught at least 2 sections. The data shows a high variance of grade distribution depending upon who taught the class. For example, Professor “A” had 25% of students score an “A” on average but Professor “C” had 62% and Professor “D” had 55% of their class score an “A”.  While this variance might be caused by a student population difference, it is probably more likely that these professors had different performance expectations for the class.</w:t>
      </w:r>
    </w:p>
    <w:p w14:paraId="53CC7CAC" w14:textId="66D7AB6C" w:rsidR="00A12994" w:rsidRDefault="00A12994" w:rsidP="00B62591">
      <w:pPr>
        <w:ind w:left="1080"/>
      </w:pPr>
    </w:p>
    <w:p w14:paraId="7AD83F5F" w14:textId="31CE509A" w:rsidR="00A12994" w:rsidRDefault="007C53BA" w:rsidP="00B62591">
      <w:pPr>
        <w:ind w:left="1080"/>
      </w:pPr>
      <w:r>
        <w:rPr>
          <w:noProof/>
        </w:rPr>
        <w:lastRenderedPageBreak/>
        <w:drawing>
          <wp:inline distT="0" distB="0" distL="0" distR="0" wp14:anchorId="52F6FAA3" wp14:editId="76176AE7">
            <wp:extent cx="3701491" cy="2062886"/>
            <wp:effectExtent l="0" t="0" r="13335" b="139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BD9AEDE" w14:textId="77777777" w:rsidR="00A12994" w:rsidRDefault="00A12994" w:rsidP="00B62591">
      <w:pPr>
        <w:ind w:left="1080"/>
      </w:pPr>
    </w:p>
    <w:p w14:paraId="6B0D8F7F" w14:textId="21B44549" w:rsidR="00DA34CA" w:rsidRDefault="00DA34CA" w:rsidP="00DA34CA">
      <w:pPr>
        <w:numPr>
          <w:ilvl w:val="0"/>
          <w:numId w:val="8"/>
        </w:numPr>
      </w:pPr>
      <w:r>
        <w:t xml:space="preserve">Quality of program assessment - in what ways could the assessment of the program be improved? </w:t>
      </w:r>
    </w:p>
    <w:p w14:paraId="1BD2BA65" w14:textId="2C623040" w:rsidR="00CA1BBB" w:rsidRDefault="00CA1BBB" w:rsidP="00CA1BBB">
      <w:pPr>
        <w:ind w:left="1080"/>
      </w:pPr>
      <w:r>
        <w:t xml:space="preserve">The quality of the current program assessment can be improved in several ways: </w:t>
      </w:r>
    </w:p>
    <w:p w14:paraId="55B2B626" w14:textId="77777777" w:rsidR="00244B08" w:rsidRDefault="00244B08" w:rsidP="00244B08">
      <w:pPr>
        <w:numPr>
          <w:ilvl w:val="0"/>
          <w:numId w:val="19"/>
        </w:numPr>
        <w:spacing w:after="150" w:line="384" w:lineRule="atLeast"/>
        <w:ind w:left="0" w:hanging="240"/>
        <w:textAlignment w:val="baseline"/>
        <w:rPr>
          <w:rFonts w:ascii="inherit" w:hAnsi="inherit"/>
          <w:color w:val="002144"/>
          <w:spacing w:val="15"/>
          <w:sz w:val="27"/>
          <w:szCs w:val="27"/>
        </w:rPr>
      </w:pPr>
      <w:r>
        <w:rPr>
          <w:rFonts w:ascii="inherit" w:hAnsi="inherit"/>
          <w:color w:val="002144"/>
          <w:spacing w:val="15"/>
          <w:sz w:val="27"/>
          <w:szCs w:val="27"/>
        </w:rPr>
        <w:t>rganize and manipulate data</w:t>
      </w:r>
    </w:p>
    <w:p w14:paraId="4402BCE6" w14:textId="77777777" w:rsidR="00244B08" w:rsidRDefault="00244B08" w:rsidP="00244B08">
      <w:pPr>
        <w:numPr>
          <w:ilvl w:val="0"/>
          <w:numId w:val="19"/>
        </w:numPr>
        <w:spacing w:after="150" w:line="384" w:lineRule="atLeast"/>
        <w:ind w:left="0" w:hanging="240"/>
        <w:textAlignment w:val="baseline"/>
        <w:rPr>
          <w:rFonts w:ascii="inherit" w:hAnsi="inherit"/>
          <w:color w:val="002144"/>
          <w:spacing w:val="15"/>
          <w:sz w:val="27"/>
          <w:szCs w:val="27"/>
        </w:rPr>
      </w:pPr>
      <w:r>
        <w:rPr>
          <w:rFonts w:ascii="inherit" w:hAnsi="inherit"/>
          <w:color w:val="002144"/>
          <w:spacing w:val="15"/>
          <w:sz w:val="27"/>
          <w:szCs w:val="27"/>
        </w:rPr>
        <w:t>Write code for computational problems</w:t>
      </w:r>
    </w:p>
    <w:p w14:paraId="3815AF61" w14:textId="77777777" w:rsidR="00244B08" w:rsidRDefault="00244B08" w:rsidP="00244B08">
      <w:pPr>
        <w:numPr>
          <w:ilvl w:val="0"/>
          <w:numId w:val="19"/>
        </w:numPr>
        <w:spacing w:after="150" w:line="384" w:lineRule="atLeast"/>
        <w:ind w:left="0" w:hanging="240"/>
        <w:textAlignment w:val="baseline"/>
        <w:rPr>
          <w:rFonts w:ascii="inherit" w:hAnsi="inherit"/>
          <w:color w:val="002144"/>
          <w:spacing w:val="15"/>
          <w:sz w:val="27"/>
          <w:szCs w:val="27"/>
        </w:rPr>
      </w:pPr>
      <w:r>
        <w:rPr>
          <w:rFonts w:ascii="inherit" w:hAnsi="inherit"/>
          <w:color w:val="002144"/>
          <w:spacing w:val="15"/>
          <w:sz w:val="27"/>
          <w:szCs w:val="27"/>
        </w:rPr>
        <w:t>Optimize alternative computational approaches for enhancing the creation and presentation of raw material </w:t>
      </w:r>
    </w:p>
    <w:p w14:paraId="32F5DE53" w14:textId="77777777" w:rsidR="00244B08" w:rsidRDefault="00244B08" w:rsidP="00244B08">
      <w:pPr>
        <w:pStyle w:val="NormalWeb"/>
        <w:spacing w:before="0" w:beforeAutospacing="0" w:after="405" w:afterAutospacing="0" w:line="396" w:lineRule="atLeast"/>
        <w:textAlignment w:val="baseline"/>
        <w:rPr>
          <w:rFonts w:ascii="Verdana" w:hAnsi="Verdana"/>
          <w:color w:val="002144"/>
          <w:spacing w:val="15"/>
        </w:rPr>
      </w:pPr>
      <w:r>
        <w:rPr>
          <w:rFonts w:ascii="Verdana" w:hAnsi="Verdana"/>
          <w:color w:val="002144"/>
          <w:spacing w:val="15"/>
        </w:rPr>
        <w:t>We offer two minors and a major. For the major, there are four tracks from which a student may choose.</w:t>
      </w:r>
    </w:p>
    <w:p w14:paraId="4DE1C7C3" w14:textId="77777777" w:rsidR="00244B08" w:rsidRDefault="00244B08" w:rsidP="00CA1BBB">
      <w:pPr>
        <w:ind w:left="1080"/>
      </w:pPr>
      <w:bookmarkStart w:id="2" w:name="_GoBack"/>
      <w:bookmarkEnd w:id="2"/>
    </w:p>
    <w:p w14:paraId="7243C5BC" w14:textId="115A91FC" w:rsidR="00CA1BBB" w:rsidRDefault="00CA1BBB" w:rsidP="00CA1BBB">
      <w:pPr>
        <w:pStyle w:val="ListParagraph"/>
        <w:numPr>
          <w:ilvl w:val="0"/>
          <w:numId w:val="18"/>
        </w:numPr>
      </w:pPr>
      <w:r>
        <w:t>Sharpen the POs</w:t>
      </w:r>
    </w:p>
    <w:tbl>
      <w:tblPr>
        <w:tblStyle w:val="TableGrid"/>
        <w:tblW w:w="10440" w:type="dxa"/>
        <w:tblInd w:w="-365" w:type="dxa"/>
        <w:tblLayout w:type="fixed"/>
        <w:tblLook w:val="04A0" w:firstRow="1" w:lastRow="0" w:firstColumn="1" w:lastColumn="0" w:noHBand="0" w:noVBand="1"/>
      </w:tblPr>
      <w:tblGrid>
        <w:gridCol w:w="2070"/>
        <w:gridCol w:w="5220"/>
        <w:gridCol w:w="3150"/>
      </w:tblGrid>
      <w:tr w:rsidR="007B51A3" w:rsidRPr="00B82323" w14:paraId="295BDC0E" w14:textId="1B7CB199" w:rsidTr="007B51A3">
        <w:tc>
          <w:tcPr>
            <w:tcW w:w="2070" w:type="dxa"/>
          </w:tcPr>
          <w:p w14:paraId="24E29B1D" w14:textId="77777777" w:rsidR="007B51A3" w:rsidRPr="0030703F" w:rsidRDefault="007B51A3" w:rsidP="00CA1BBB">
            <w:pPr>
              <w:rPr>
                <w:rFonts w:cs="Calibri"/>
                <w:color w:val="000000"/>
                <w:sz w:val="18"/>
                <w:szCs w:val="18"/>
                <w:lang w:val="en"/>
              </w:rPr>
            </w:pPr>
            <w:r>
              <w:rPr>
                <w:rFonts w:cs="Calibri"/>
                <w:color w:val="000000"/>
                <w:sz w:val="18"/>
                <w:szCs w:val="18"/>
                <w:lang w:val="en"/>
              </w:rPr>
              <w:t>PO1: Computing/Mathematic Knowledge</w:t>
            </w:r>
          </w:p>
        </w:tc>
        <w:tc>
          <w:tcPr>
            <w:tcW w:w="5220" w:type="dxa"/>
          </w:tcPr>
          <w:p w14:paraId="2465747D" w14:textId="77777777" w:rsidR="007B51A3" w:rsidRDefault="007B51A3" w:rsidP="00CA1BBB">
            <w:pPr>
              <w:rPr>
                <w:rFonts w:cs="Calibri"/>
                <w:color w:val="000000"/>
                <w:sz w:val="18"/>
                <w:szCs w:val="18"/>
                <w:lang w:val="en"/>
              </w:rPr>
            </w:pPr>
            <w:r w:rsidRPr="0030703F">
              <w:rPr>
                <w:color w:val="000000"/>
                <w:sz w:val="18"/>
                <w:szCs w:val="18"/>
              </w:rPr>
              <w:t xml:space="preserve"> Identify and analyze computer based systems, processes or components. Utilize their education to contribute critical and systemic thinking while recognizing ethical responsibilities</w:t>
            </w:r>
          </w:p>
          <w:p w14:paraId="6332A7CA" w14:textId="77777777" w:rsidR="007B51A3" w:rsidRPr="00B82323" w:rsidRDefault="007B51A3" w:rsidP="00CA1BBB">
            <w:pPr>
              <w:rPr>
                <w:rFonts w:cs="Calibri"/>
                <w:sz w:val="18"/>
                <w:szCs w:val="18"/>
                <w:lang w:val="en"/>
              </w:rPr>
            </w:pPr>
          </w:p>
        </w:tc>
        <w:tc>
          <w:tcPr>
            <w:tcW w:w="3150" w:type="dxa"/>
          </w:tcPr>
          <w:p w14:paraId="19B5F494" w14:textId="1C07EF8E" w:rsidR="007B51A3" w:rsidRPr="0030703F" w:rsidRDefault="002E54AB" w:rsidP="00CA1BBB">
            <w:pPr>
              <w:rPr>
                <w:color w:val="000000"/>
                <w:sz w:val="18"/>
                <w:szCs w:val="18"/>
              </w:rPr>
            </w:pPr>
            <w:r>
              <w:rPr>
                <w:color w:val="000000"/>
                <w:sz w:val="18"/>
                <w:szCs w:val="18"/>
              </w:rPr>
              <w:t xml:space="preserve">Demonstrate the ability to create  </w:t>
            </w:r>
          </w:p>
        </w:tc>
      </w:tr>
      <w:tr w:rsidR="007B51A3" w:rsidRPr="0030703F" w14:paraId="44E246F9" w14:textId="74749BDE" w:rsidTr="007B51A3">
        <w:tc>
          <w:tcPr>
            <w:tcW w:w="2070" w:type="dxa"/>
          </w:tcPr>
          <w:p w14:paraId="4415DF99" w14:textId="77777777" w:rsidR="007B51A3" w:rsidRPr="0030703F" w:rsidRDefault="007B51A3" w:rsidP="00CA1BBB">
            <w:pPr>
              <w:rPr>
                <w:rFonts w:cs="Calibri"/>
                <w:color w:val="000000"/>
                <w:sz w:val="18"/>
                <w:szCs w:val="18"/>
                <w:lang w:val="en"/>
              </w:rPr>
            </w:pPr>
            <w:r>
              <w:rPr>
                <w:rFonts w:cs="Calibri"/>
                <w:color w:val="000000"/>
                <w:sz w:val="18"/>
                <w:szCs w:val="18"/>
                <w:lang w:val="en"/>
              </w:rPr>
              <w:t>P2: Team-work and communication</w:t>
            </w:r>
          </w:p>
        </w:tc>
        <w:tc>
          <w:tcPr>
            <w:tcW w:w="5220" w:type="dxa"/>
          </w:tcPr>
          <w:p w14:paraId="162FDA9C" w14:textId="77777777" w:rsidR="007B51A3" w:rsidRPr="0030703F" w:rsidRDefault="007B51A3" w:rsidP="00CA1BBB">
            <w:pPr>
              <w:rPr>
                <w:rFonts w:cs="Calibri"/>
                <w:color w:val="000000"/>
                <w:sz w:val="18"/>
                <w:szCs w:val="18"/>
                <w:lang w:val="en"/>
              </w:rPr>
            </w:pPr>
            <w:r w:rsidRPr="0030703F">
              <w:rPr>
                <w:color w:val="000000"/>
                <w:sz w:val="18"/>
                <w:szCs w:val="18"/>
              </w:rPr>
              <w:t>Communicate and collaborate effectively when interacting with other individuals or serving on teams</w:t>
            </w:r>
          </w:p>
        </w:tc>
        <w:tc>
          <w:tcPr>
            <w:tcW w:w="3150" w:type="dxa"/>
          </w:tcPr>
          <w:p w14:paraId="388C8624" w14:textId="7D52164F" w:rsidR="007B51A3" w:rsidRPr="0030703F" w:rsidRDefault="009410B9" w:rsidP="00CA1BBB">
            <w:pPr>
              <w:rPr>
                <w:color w:val="000000"/>
                <w:sz w:val="18"/>
                <w:szCs w:val="18"/>
              </w:rPr>
            </w:pPr>
            <w:r>
              <w:rPr>
                <w:color w:val="000000"/>
                <w:sz w:val="18"/>
                <w:szCs w:val="18"/>
              </w:rPr>
              <w:t>Demonstrate the ability to organize and create software solutions (oraganize and manipulate data)</w:t>
            </w:r>
          </w:p>
        </w:tc>
      </w:tr>
      <w:tr w:rsidR="007B51A3" w14:paraId="32FFBC93" w14:textId="0202DB8A" w:rsidTr="007B51A3">
        <w:tc>
          <w:tcPr>
            <w:tcW w:w="2070" w:type="dxa"/>
          </w:tcPr>
          <w:p w14:paraId="37C9900E" w14:textId="77777777" w:rsidR="007B51A3" w:rsidRDefault="007B51A3" w:rsidP="00CA1BBB">
            <w:pPr>
              <w:rPr>
                <w:rFonts w:cs="Calibri"/>
                <w:color w:val="000000"/>
                <w:sz w:val="18"/>
                <w:szCs w:val="18"/>
                <w:lang w:val="en"/>
              </w:rPr>
            </w:pPr>
            <w:r>
              <w:rPr>
                <w:rFonts w:cs="Calibri"/>
                <w:color w:val="000000"/>
                <w:sz w:val="18"/>
                <w:szCs w:val="18"/>
                <w:lang w:val="en"/>
              </w:rPr>
              <w:t>P3: Define, Design, Develop</w:t>
            </w:r>
          </w:p>
        </w:tc>
        <w:tc>
          <w:tcPr>
            <w:tcW w:w="5220" w:type="dxa"/>
          </w:tcPr>
          <w:p w14:paraId="4AA83B82" w14:textId="77777777" w:rsidR="007B51A3" w:rsidRDefault="007B51A3" w:rsidP="00CA1BBB">
            <w:pPr>
              <w:rPr>
                <w:color w:val="000000"/>
                <w:sz w:val="18"/>
                <w:szCs w:val="18"/>
              </w:rPr>
            </w:pPr>
            <w:r w:rsidRPr="0030703F">
              <w:rPr>
                <w:color w:val="000000"/>
                <w:sz w:val="18"/>
                <w:szCs w:val="18"/>
              </w:rPr>
              <w:t>Evaluate and develop solutions in an organization by integrating computer science practices of programming and theory.</w:t>
            </w:r>
          </w:p>
        </w:tc>
        <w:tc>
          <w:tcPr>
            <w:tcW w:w="3150" w:type="dxa"/>
          </w:tcPr>
          <w:p w14:paraId="42ACE30C" w14:textId="72F8F1BE" w:rsidR="007B51A3" w:rsidRPr="0030703F" w:rsidRDefault="002E54AB" w:rsidP="00CA1BBB">
            <w:pPr>
              <w:rPr>
                <w:color w:val="000000"/>
                <w:sz w:val="18"/>
                <w:szCs w:val="18"/>
              </w:rPr>
            </w:pPr>
            <w:r>
              <w:rPr>
                <w:color w:val="000000"/>
                <w:sz w:val="18"/>
                <w:szCs w:val="18"/>
              </w:rPr>
              <w:t xml:space="preserve">Demonstrate ability to solve computing problems at a difficulty required by the field. </w:t>
            </w:r>
          </w:p>
        </w:tc>
      </w:tr>
      <w:tr w:rsidR="007B51A3" w:rsidRPr="0030703F" w14:paraId="428D03A8" w14:textId="7D8F19C0" w:rsidTr="007B51A3">
        <w:tc>
          <w:tcPr>
            <w:tcW w:w="2070" w:type="dxa"/>
          </w:tcPr>
          <w:p w14:paraId="17F21EC8" w14:textId="089A5ED4" w:rsidR="007B51A3" w:rsidRPr="0030703F" w:rsidRDefault="007B51A3" w:rsidP="00D134BC">
            <w:pPr>
              <w:rPr>
                <w:rFonts w:cs="Calibri"/>
                <w:color w:val="000000"/>
                <w:sz w:val="18"/>
                <w:szCs w:val="18"/>
                <w:lang w:val="en"/>
              </w:rPr>
            </w:pPr>
            <w:r>
              <w:rPr>
                <w:rFonts w:cs="Calibri"/>
                <w:color w:val="000000"/>
                <w:sz w:val="18"/>
                <w:szCs w:val="18"/>
                <w:lang w:val="en"/>
              </w:rPr>
              <w:t>P4: Professional Readiness</w:t>
            </w:r>
          </w:p>
        </w:tc>
        <w:tc>
          <w:tcPr>
            <w:tcW w:w="5220" w:type="dxa"/>
          </w:tcPr>
          <w:p w14:paraId="3526D1DF" w14:textId="3E8C35DC" w:rsidR="007B51A3" w:rsidRDefault="007B51A3" w:rsidP="00CA1BBB">
            <w:pPr>
              <w:rPr>
                <w:color w:val="000000"/>
                <w:sz w:val="18"/>
                <w:szCs w:val="18"/>
              </w:rPr>
            </w:pPr>
            <w:r>
              <w:rPr>
                <w:color w:val="000000"/>
                <w:sz w:val="18"/>
                <w:szCs w:val="18"/>
              </w:rPr>
              <w:t xml:space="preserve">Communicate and collaborate effectively </w:t>
            </w:r>
          </w:p>
          <w:p w14:paraId="3E93AE28" w14:textId="6C19CEFE" w:rsidR="007B51A3" w:rsidRPr="0030703F" w:rsidRDefault="007B51A3" w:rsidP="00CA1BBB">
            <w:pPr>
              <w:rPr>
                <w:rFonts w:cs="Calibri"/>
                <w:color w:val="000000"/>
                <w:sz w:val="18"/>
                <w:szCs w:val="18"/>
                <w:lang w:val="en"/>
              </w:rPr>
            </w:pPr>
            <w:r w:rsidRPr="0030703F">
              <w:rPr>
                <w:color w:val="000000"/>
                <w:sz w:val="18"/>
                <w:szCs w:val="18"/>
              </w:rPr>
              <w:t>Understand the importance of, and practice, continuing learning to keep abreast of developments in technology, economics, and society.</w:t>
            </w:r>
          </w:p>
        </w:tc>
        <w:tc>
          <w:tcPr>
            <w:tcW w:w="3150" w:type="dxa"/>
          </w:tcPr>
          <w:p w14:paraId="75DBDC26" w14:textId="787F863D" w:rsidR="007B51A3" w:rsidRDefault="007B51A3" w:rsidP="007B51A3">
            <w:pPr>
              <w:rPr>
                <w:color w:val="000000"/>
                <w:sz w:val="18"/>
                <w:szCs w:val="18"/>
              </w:rPr>
            </w:pPr>
            <w:r>
              <w:rPr>
                <w:color w:val="000000"/>
                <w:sz w:val="18"/>
                <w:szCs w:val="18"/>
              </w:rPr>
              <w:t>Demonstrate ability to collaborate and communicate effectively within a team</w:t>
            </w:r>
            <w:r w:rsidR="002E54AB">
              <w:rPr>
                <w:color w:val="000000"/>
                <w:sz w:val="18"/>
                <w:szCs w:val="18"/>
              </w:rPr>
              <w:t>.</w:t>
            </w:r>
          </w:p>
        </w:tc>
      </w:tr>
    </w:tbl>
    <w:p w14:paraId="5A9F1B2E" w14:textId="77777777" w:rsidR="00CA1BBB" w:rsidRDefault="00CA1BBB" w:rsidP="00CA1BBB">
      <w:pPr>
        <w:pStyle w:val="ListParagraph"/>
        <w:ind w:left="1800"/>
      </w:pPr>
    </w:p>
    <w:p w14:paraId="1AF2BC5F" w14:textId="19189992" w:rsidR="00F232D8" w:rsidRDefault="00F232D8" w:rsidP="00F232D8">
      <w:pPr>
        <w:numPr>
          <w:ilvl w:val="0"/>
          <w:numId w:val="8"/>
        </w:numPr>
      </w:pPr>
      <w:r>
        <w:t xml:space="preserve">How does the program compare on similar dimensions to peer institutions? </w:t>
      </w:r>
    </w:p>
    <w:p w14:paraId="6D315862" w14:textId="77777777" w:rsidR="00F232D8" w:rsidRDefault="00F232D8" w:rsidP="00F232D8">
      <w:pPr>
        <w:numPr>
          <w:ilvl w:val="0"/>
          <w:numId w:val="8"/>
        </w:numPr>
      </w:pPr>
      <w:r>
        <w:t>How does the program compare on similar dimensions to aspirant colleges and universities?</w:t>
      </w:r>
    </w:p>
    <w:p w14:paraId="47D0631E" w14:textId="092E55FE" w:rsidR="00A40DE1" w:rsidRDefault="00F232D8" w:rsidP="00965E6B">
      <w:pPr>
        <w:numPr>
          <w:ilvl w:val="0"/>
          <w:numId w:val="8"/>
        </w:numPr>
      </w:pPr>
      <w:r>
        <w:t>R</w:t>
      </w:r>
      <w:r w:rsidR="00965E6B">
        <w:t xml:space="preserve">eview of </w:t>
      </w:r>
      <w:r>
        <w:t xml:space="preserve">what </w:t>
      </w:r>
      <w:r w:rsidR="00965E6B">
        <w:t xml:space="preserve">the evidence suggests with regard to development of the program currently in place. </w:t>
      </w:r>
      <w:r w:rsidR="00A40DE1">
        <w:t xml:space="preserve">What </w:t>
      </w:r>
      <w:r w:rsidR="003F72DD">
        <w:t xml:space="preserve">is </w:t>
      </w:r>
      <w:r w:rsidR="00A40DE1">
        <w:t xml:space="preserve">the demand for graduates and, similarly, are there patterns in student demand for </w:t>
      </w:r>
      <w:r w:rsidR="003F72DD">
        <w:t>additional or revised programming</w:t>
      </w:r>
      <w:r w:rsidR="00A40DE1">
        <w:t>?</w:t>
      </w:r>
      <w:r w:rsidR="00936D5E">
        <w:t xml:space="preserve"> Does the environment </w:t>
      </w:r>
      <w:r w:rsidR="00936D5E">
        <w:lastRenderedPageBreak/>
        <w:t>suggest opportunities for the program to develop additional majors/minors to prepare students to meet emerging needs?</w:t>
      </w:r>
      <w:r w:rsidR="00B64510">
        <w:t xml:space="preserve"> Additionally, does the environment suggest the need to </w:t>
      </w:r>
      <w:r w:rsidR="00B95C1C">
        <w:t xml:space="preserve">modify or </w:t>
      </w:r>
      <w:r w:rsidR="00B64510">
        <w:t xml:space="preserve">eliminate any of the current programmatic emphases? </w:t>
      </w:r>
    </w:p>
    <w:p w14:paraId="2C23488D" w14:textId="77777777" w:rsidR="00AF2ACB" w:rsidRDefault="00AF2ACB" w:rsidP="00965E6B"/>
    <w:p w14:paraId="60A30C35" w14:textId="0B8C508C" w:rsidR="003F72DD" w:rsidRPr="00343110" w:rsidRDefault="00343110" w:rsidP="00343110">
      <w:pPr>
        <w:ind w:left="1080"/>
        <w:rPr>
          <w:i/>
        </w:rPr>
      </w:pPr>
      <w:r>
        <w:rPr>
          <w:i/>
        </w:rPr>
        <w:t>***</w:t>
      </w:r>
      <w:r w:rsidR="003F72DD" w:rsidRPr="00343110">
        <w:rPr>
          <w:i/>
        </w:rPr>
        <w:t xml:space="preserve">Additional questions pertaining to the program under review may be offered by </w:t>
      </w:r>
      <w:r w:rsidR="00FB3A92" w:rsidRPr="00343110">
        <w:rPr>
          <w:i/>
        </w:rPr>
        <w:t xml:space="preserve">the program chair, Jurisdictional Dean, </w:t>
      </w:r>
      <w:r w:rsidR="000B7B0F" w:rsidRPr="00343110">
        <w:rPr>
          <w:i/>
        </w:rPr>
        <w:t xml:space="preserve">Dean of Academic Administration, </w:t>
      </w:r>
      <w:r w:rsidR="00FB3A92" w:rsidRPr="00343110">
        <w:rPr>
          <w:i/>
        </w:rPr>
        <w:t>or Chief Academic Officer</w:t>
      </w:r>
      <w:r w:rsidR="003F72DD" w:rsidRPr="00343110">
        <w:rPr>
          <w:i/>
        </w:rPr>
        <w:t>.</w:t>
      </w:r>
    </w:p>
    <w:p w14:paraId="6A1835ED" w14:textId="77777777" w:rsidR="00A40DE1" w:rsidRDefault="00A40DE1"/>
    <w:p w14:paraId="3DD9BBC9" w14:textId="77777777" w:rsidR="00EF06B0" w:rsidRDefault="00EF06B0">
      <w:r>
        <w:rPr>
          <w:u w:val="single"/>
        </w:rPr>
        <w:t>Analysis</w:t>
      </w:r>
    </w:p>
    <w:p w14:paraId="6505DD11" w14:textId="77777777" w:rsidR="00EF06B0" w:rsidRDefault="00EF06B0"/>
    <w:p w14:paraId="56E5BDF3" w14:textId="77777777" w:rsidR="00C0439F" w:rsidRDefault="00EF06B0">
      <w:r>
        <w:t>The analysis section can be structured as a S</w:t>
      </w:r>
      <w:r w:rsidR="00936D5E">
        <w:t>OAR</w:t>
      </w:r>
      <w:r w:rsidR="00B95C1C">
        <w:t xml:space="preserve"> (strengths, </w:t>
      </w:r>
      <w:r>
        <w:t>opportunities,</w:t>
      </w:r>
      <w:r w:rsidR="00170855">
        <w:t xml:space="preserve"> actions</w:t>
      </w:r>
      <w:r w:rsidR="00936D5E">
        <w:t>, and results</w:t>
      </w:r>
      <w:r>
        <w:t>) analysis. E</w:t>
      </w:r>
    </w:p>
    <w:p w14:paraId="2CFEC738" w14:textId="5E394A56" w:rsidR="00EF06B0" w:rsidRDefault="00EF06B0">
      <w:r>
        <w:t xml:space="preserve">ach section should refer to specific evidence from observations </w:t>
      </w:r>
      <w:r w:rsidR="00F22B47">
        <w:t xml:space="preserve">and reflections </w:t>
      </w:r>
      <w:r>
        <w:t>of the reviewer</w:t>
      </w:r>
      <w:r w:rsidR="00B95C1C">
        <w:t>s</w:t>
      </w:r>
      <w:r>
        <w:t xml:space="preserve"> to support the conclusions drawn. </w:t>
      </w:r>
    </w:p>
    <w:p w14:paraId="452D745A" w14:textId="77777777" w:rsidR="00A37058" w:rsidRDefault="00A37058">
      <w:pPr>
        <w:rPr>
          <w:u w:val="single"/>
        </w:rPr>
      </w:pPr>
    </w:p>
    <w:p w14:paraId="7BD585B2" w14:textId="77777777" w:rsidR="00EF06B0" w:rsidRDefault="00EF06B0">
      <w:r>
        <w:rPr>
          <w:u w:val="single"/>
        </w:rPr>
        <w:t>Recommendations</w:t>
      </w:r>
      <w:r w:rsidR="001B77DE">
        <w:rPr>
          <w:u w:val="single"/>
        </w:rPr>
        <w:t xml:space="preserve"> and Strategy</w:t>
      </w:r>
    </w:p>
    <w:p w14:paraId="4976F82C" w14:textId="77777777" w:rsidR="00EF06B0" w:rsidRDefault="00EF06B0"/>
    <w:p w14:paraId="741B8939" w14:textId="77777777" w:rsidR="001B77DE" w:rsidRDefault="001B77DE">
      <w:r>
        <w:t xml:space="preserve">The program will develop 2-4 strategic goals, supported by 3-5 tactical objectives each.  </w:t>
      </w:r>
      <w:r w:rsidR="00F22B47">
        <w:t>The goals must include at least one addressing the short term (1-3 years) and one addressing the long term (3-5 years).</w:t>
      </w:r>
    </w:p>
    <w:p w14:paraId="5F6C365B" w14:textId="77777777" w:rsidR="00F22B47" w:rsidRDefault="00F22B47"/>
    <w:p w14:paraId="556E3B91" w14:textId="77777777" w:rsidR="00F422BF" w:rsidRDefault="00B95C1C">
      <w:r>
        <w:t xml:space="preserve">The </w:t>
      </w:r>
      <w:r w:rsidR="00F22B47">
        <w:t>goals should be</w:t>
      </w:r>
      <w:r w:rsidR="00EF06B0">
        <w:t xml:space="preserve"> based on evidence and analysis, for development of curriculum, pedagogy, assessm</w:t>
      </w:r>
      <w:r w:rsidR="00A65BE1">
        <w:t xml:space="preserve">ent; student recruitment, development, and retention; recruitment and development of faculty and staff members; facilities; partnership with entities external to the university; potential development of new initiatives and programs; and enhancing alignment with programs at aspirant institutions. </w:t>
      </w:r>
    </w:p>
    <w:p w14:paraId="00F002D8" w14:textId="77777777" w:rsidR="001D6AB3" w:rsidRPr="001D6AB3" w:rsidRDefault="001D6AB3"/>
    <w:sectPr w:rsidR="001D6AB3" w:rsidRPr="001D6A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6AF3F" w14:textId="77777777" w:rsidR="00C01120" w:rsidRDefault="00C01120" w:rsidP="00A746F8">
      <w:r>
        <w:separator/>
      </w:r>
    </w:p>
  </w:endnote>
  <w:endnote w:type="continuationSeparator" w:id="0">
    <w:p w14:paraId="4E5B98EF" w14:textId="77777777" w:rsidR="00C01120" w:rsidRDefault="00C01120" w:rsidP="00A74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23F37" w14:textId="77777777" w:rsidR="00C01120" w:rsidRDefault="00C01120" w:rsidP="00A746F8">
      <w:r>
        <w:separator/>
      </w:r>
    </w:p>
  </w:footnote>
  <w:footnote w:type="continuationSeparator" w:id="0">
    <w:p w14:paraId="42B087BB" w14:textId="77777777" w:rsidR="00C01120" w:rsidRDefault="00C01120" w:rsidP="00A746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A76"/>
    <w:multiLevelType w:val="hybridMultilevel"/>
    <w:tmpl w:val="400C91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E2F3A"/>
    <w:multiLevelType w:val="hybridMultilevel"/>
    <w:tmpl w:val="9E6407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16E25"/>
    <w:multiLevelType w:val="hybridMultilevel"/>
    <w:tmpl w:val="7EC48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52D87"/>
    <w:multiLevelType w:val="hybridMultilevel"/>
    <w:tmpl w:val="9E525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32D50"/>
    <w:multiLevelType w:val="multilevel"/>
    <w:tmpl w:val="2CC6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0266D"/>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437337C"/>
    <w:multiLevelType w:val="hybridMultilevel"/>
    <w:tmpl w:val="E9C6F73A"/>
    <w:lvl w:ilvl="0" w:tplc="DE1691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6B7AFF"/>
    <w:multiLevelType w:val="hybridMultilevel"/>
    <w:tmpl w:val="549E935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C405F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157D98"/>
    <w:multiLevelType w:val="hybridMultilevel"/>
    <w:tmpl w:val="FB767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E281A"/>
    <w:multiLevelType w:val="hybridMultilevel"/>
    <w:tmpl w:val="DABC1270"/>
    <w:lvl w:ilvl="0" w:tplc="C98479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AF46ED6"/>
    <w:multiLevelType w:val="hybridMultilevel"/>
    <w:tmpl w:val="0AB8B4B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337DB"/>
    <w:multiLevelType w:val="hybridMultilevel"/>
    <w:tmpl w:val="5EE874D6"/>
    <w:lvl w:ilvl="0" w:tplc="32A2C2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21B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00812"/>
    <w:multiLevelType w:val="hybridMultilevel"/>
    <w:tmpl w:val="A55C34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48448F"/>
    <w:multiLevelType w:val="hybridMultilevel"/>
    <w:tmpl w:val="E890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AF57AF"/>
    <w:multiLevelType w:val="hybridMultilevel"/>
    <w:tmpl w:val="9E6407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552535"/>
    <w:multiLevelType w:val="hybridMultilevel"/>
    <w:tmpl w:val="3D8A4D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E3D6288"/>
    <w:multiLevelType w:val="hybridMultilevel"/>
    <w:tmpl w:val="8AB2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8"/>
  </w:num>
  <w:num w:numId="4">
    <w:abstractNumId w:val="5"/>
  </w:num>
  <w:num w:numId="5">
    <w:abstractNumId w:val="7"/>
  </w:num>
  <w:num w:numId="6">
    <w:abstractNumId w:val="18"/>
  </w:num>
  <w:num w:numId="7">
    <w:abstractNumId w:val="15"/>
  </w:num>
  <w:num w:numId="8">
    <w:abstractNumId w:val="12"/>
  </w:num>
  <w:num w:numId="9">
    <w:abstractNumId w:val="2"/>
  </w:num>
  <w:num w:numId="10">
    <w:abstractNumId w:val="17"/>
  </w:num>
  <w:num w:numId="11">
    <w:abstractNumId w:val="11"/>
  </w:num>
  <w:num w:numId="12">
    <w:abstractNumId w:val="0"/>
  </w:num>
  <w:num w:numId="13">
    <w:abstractNumId w:val="3"/>
  </w:num>
  <w:num w:numId="14">
    <w:abstractNumId w:val="1"/>
  </w:num>
  <w:num w:numId="15">
    <w:abstractNumId w:val="16"/>
  </w:num>
  <w:num w:numId="16">
    <w:abstractNumId w:val="9"/>
  </w:num>
  <w:num w:numId="17">
    <w:abstractNumId w:val="6"/>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6A"/>
    <w:rsid w:val="00050757"/>
    <w:rsid w:val="00077E5B"/>
    <w:rsid w:val="0008176A"/>
    <w:rsid w:val="00096055"/>
    <w:rsid w:val="00096BE1"/>
    <w:rsid w:val="000A4608"/>
    <w:rsid w:val="000A664E"/>
    <w:rsid w:val="000B0694"/>
    <w:rsid w:val="000B7B0F"/>
    <w:rsid w:val="000E7294"/>
    <w:rsid w:val="0011088F"/>
    <w:rsid w:val="0013219E"/>
    <w:rsid w:val="00135A91"/>
    <w:rsid w:val="001403C7"/>
    <w:rsid w:val="00141694"/>
    <w:rsid w:val="00145A27"/>
    <w:rsid w:val="00170855"/>
    <w:rsid w:val="001A0168"/>
    <w:rsid w:val="001B6D46"/>
    <w:rsid w:val="001B77DE"/>
    <w:rsid w:val="001B7D0D"/>
    <w:rsid w:val="001C1DEC"/>
    <w:rsid w:val="001C2F70"/>
    <w:rsid w:val="001D6AB3"/>
    <w:rsid w:val="001E72BF"/>
    <w:rsid w:val="00217A3E"/>
    <w:rsid w:val="00222D16"/>
    <w:rsid w:val="00244908"/>
    <w:rsid w:val="00244B08"/>
    <w:rsid w:val="00247B31"/>
    <w:rsid w:val="00263E4D"/>
    <w:rsid w:val="00273E50"/>
    <w:rsid w:val="002847D9"/>
    <w:rsid w:val="00293056"/>
    <w:rsid w:val="002E54AB"/>
    <w:rsid w:val="002F29B1"/>
    <w:rsid w:val="00304613"/>
    <w:rsid w:val="00324123"/>
    <w:rsid w:val="00343110"/>
    <w:rsid w:val="00352F91"/>
    <w:rsid w:val="003722EE"/>
    <w:rsid w:val="003852E5"/>
    <w:rsid w:val="00386390"/>
    <w:rsid w:val="00395F0D"/>
    <w:rsid w:val="003A4BCA"/>
    <w:rsid w:val="003B08A2"/>
    <w:rsid w:val="003B4497"/>
    <w:rsid w:val="003C453C"/>
    <w:rsid w:val="003D1CEE"/>
    <w:rsid w:val="003D58E9"/>
    <w:rsid w:val="003E7E23"/>
    <w:rsid w:val="003F72DD"/>
    <w:rsid w:val="00415D75"/>
    <w:rsid w:val="00454F5E"/>
    <w:rsid w:val="00471EE3"/>
    <w:rsid w:val="00486D8A"/>
    <w:rsid w:val="00487077"/>
    <w:rsid w:val="004B206E"/>
    <w:rsid w:val="004C042C"/>
    <w:rsid w:val="004C49D6"/>
    <w:rsid w:val="004F032B"/>
    <w:rsid w:val="00501B1A"/>
    <w:rsid w:val="0050777B"/>
    <w:rsid w:val="00524550"/>
    <w:rsid w:val="00550B27"/>
    <w:rsid w:val="0055548E"/>
    <w:rsid w:val="005A732F"/>
    <w:rsid w:val="005B1D2F"/>
    <w:rsid w:val="005D2198"/>
    <w:rsid w:val="005E3C37"/>
    <w:rsid w:val="005E586D"/>
    <w:rsid w:val="00606369"/>
    <w:rsid w:val="006319C6"/>
    <w:rsid w:val="006352A3"/>
    <w:rsid w:val="00636879"/>
    <w:rsid w:val="0064119A"/>
    <w:rsid w:val="00643992"/>
    <w:rsid w:val="00647DFC"/>
    <w:rsid w:val="006712E6"/>
    <w:rsid w:val="0069332C"/>
    <w:rsid w:val="006A21B6"/>
    <w:rsid w:val="006B0347"/>
    <w:rsid w:val="006B1794"/>
    <w:rsid w:val="006B3C6F"/>
    <w:rsid w:val="006B3C7D"/>
    <w:rsid w:val="006E78A2"/>
    <w:rsid w:val="006F0A33"/>
    <w:rsid w:val="0073686A"/>
    <w:rsid w:val="00763855"/>
    <w:rsid w:val="007755C1"/>
    <w:rsid w:val="00786668"/>
    <w:rsid w:val="007955EC"/>
    <w:rsid w:val="007A2D2E"/>
    <w:rsid w:val="007A5E1B"/>
    <w:rsid w:val="007B51A3"/>
    <w:rsid w:val="007C53BA"/>
    <w:rsid w:val="007F1071"/>
    <w:rsid w:val="00806222"/>
    <w:rsid w:val="008100F5"/>
    <w:rsid w:val="00812AC2"/>
    <w:rsid w:val="00821804"/>
    <w:rsid w:val="008300E9"/>
    <w:rsid w:val="00855E1B"/>
    <w:rsid w:val="00893B79"/>
    <w:rsid w:val="008A7745"/>
    <w:rsid w:val="008B3A61"/>
    <w:rsid w:val="008C5535"/>
    <w:rsid w:val="008E45C6"/>
    <w:rsid w:val="009061F5"/>
    <w:rsid w:val="00917BA8"/>
    <w:rsid w:val="009227AA"/>
    <w:rsid w:val="00922DDC"/>
    <w:rsid w:val="0092694B"/>
    <w:rsid w:val="0093249D"/>
    <w:rsid w:val="00936D5E"/>
    <w:rsid w:val="009410B9"/>
    <w:rsid w:val="0094204A"/>
    <w:rsid w:val="00942C9B"/>
    <w:rsid w:val="00946B0D"/>
    <w:rsid w:val="0095511E"/>
    <w:rsid w:val="00964758"/>
    <w:rsid w:val="00965E6B"/>
    <w:rsid w:val="00966255"/>
    <w:rsid w:val="00992A0A"/>
    <w:rsid w:val="009A20C8"/>
    <w:rsid w:val="009A6AC6"/>
    <w:rsid w:val="009B7248"/>
    <w:rsid w:val="009D76C0"/>
    <w:rsid w:val="00A005E5"/>
    <w:rsid w:val="00A12994"/>
    <w:rsid w:val="00A34B07"/>
    <w:rsid w:val="00A37058"/>
    <w:rsid w:val="00A40DE1"/>
    <w:rsid w:val="00A44E13"/>
    <w:rsid w:val="00A52CE7"/>
    <w:rsid w:val="00A65BE1"/>
    <w:rsid w:val="00A746F8"/>
    <w:rsid w:val="00A83EE0"/>
    <w:rsid w:val="00A91A16"/>
    <w:rsid w:val="00AA0701"/>
    <w:rsid w:val="00AA0B2E"/>
    <w:rsid w:val="00AA5205"/>
    <w:rsid w:val="00AB0078"/>
    <w:rsid w:val="00AB4833"/>
    <w:rsid w:val="00AC2800"/>
    <w:rsid w:val="00AD5419"/>
    <w:rsid w:val="00AD7E9F"/>
    <w:rsid w:val="00AE0F5D"/>
    <w:rsid w:val="00AE1C40"/>
    <w:rsid w:val="00AF2ACB"/>
    <w:rsid w:val="00B41F3F"/>
    <w:rsid w:val="00B47672"/>
    <w:rsid w:val="00B54117"/>
    <w:rsid w:val="00B60EC4"/>
    <w:rsid w:val="00B62591"/>
    <w:rsid w:val="00B64510"/>
    <w:rsid w:val="00B65E00"/>
    <w:rsid w:val="00B72348"/>
    <w:rsid w:val="00B85063"/>
    <w:rsid w:val="00B95C1C"/>
    <w:rsid w:val="00BA510B"/>
    <w:rsid w:val="00BD6544"/>
    <w:rsid w:val="00BE2990"/>
    <w:rsid w:val="00BE3AA1"/>
    <w:rsid w:val="00BE6920"/>
    <w:rsid w:val="00BF1113"/>
    <w:rsid w:val="00C01120"/>
    <w:rsid w:val="00C0439F"/>
    <w:rsid w:val="00C07F25"/>
    <w:rsid w:val="00C15F78"/>
    <w:rsid w:val="00C45D3D"/>
    <w:rsid w:val="00C460E7"/>
    <w:rsid w:val="00C616FD"/>
    <w:rsid w:val="00C634E6"/>
    <w:rsid w:val="00C72B9B"/>
    <w:rsid w:val="00C72C69"/>
    <w:rsid w:val="00C81EB2"/>
    <w:rsid w:val="00C92E06"/>
    <w:rsid w:val="00C9542D"/>
    <w:rsid w:val="00CA1BBB"/>
    <w:rsid w:val="00CD4C3B"/>
    <w:rsid w:val="00CF2DD1"/>
    <w:rsid w:val="00D00221"/>
    <w:rsid w:val="00D00514"/>
    <w:rsid w:val="00D070E7"/>
    <w:rsid w:val="00D134BC"/>
    <w:rsid w:val="00D25F36"/>
    <w:rsid w:val="00D278BC"/>
    <w:rsid w:val="00D30702"/>
    <w:rsid w:val="00D7076A"/>
    <w:rsid w:val="00D84E0E"/>
    <w:rsid w:val="00DA1575"/>
    <w:rsid w:val="00DA34CA"/>
    <w:rsid w:val="00DC12F0"/>
    <w:rsid w:val="00DD5C10"/>
    <w:rsid w:val="00E0390C"/>
    <w:rsid w:val="00E156B2"/>
    <w:rsid w:val="00E21A57"/>
    <w:rsid w:val="00E33CD3"/>
    <w:rsid w:val="00E5624B"/>
    <w:rsid w:val="00E61DF3"/>
    <w:rsid w:val="00E74EEB"/>
    <w:rsid w:val="00EC5585"/>
    <w:rsid w:val="00ED436A"/>
    <w:rsid w:val="00EF06B0"/>
    <w:rsid w:val="00F066FA"/>
    <w:rsid w:val="00F22B47"/>
    <w:rsid w:val="00F232D8"/>
    <w:rsid w:val="00F24146"/>
    <w:rsid w:val="00F422BF"/>
    <w:rsid w:val="00F57B9B"/>
    <w:rsid w:val="00F80D57"/>
    <w:rsid w:val="00F978AB"/>
    <w:rsid w:val="00FB3A92"/>
    <w:rsid w:val="00FC4D01"/>
    <w:rsid w:val="00FD32AD"/>
    <w:rsid w:val="00FD5C26"/>
    <w:rsid w:val="00FF3D50"/>
    <w:rsid w:val="00FF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260E8"/>
  <w15:docId w15:val="{BC277162-F275-4DC1-99EA-503F2703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paragraph" w:styleId="BodyTextIndent">
    <w:name w:val="Body Text Indent"/>
    <w:basedOn w:val="Normal"/>
    <w:semiHidden/>
    <w:pPr>
      <w:ind w:left="360"/>
    </w:pPr>
    <w:rPr>
      <w:szCs w:val="20"/>
    </w:rPr>
  </w:style>
  <w:style w:type="paragraph" w:styleId="NoSpacing">
    <w:name w:val="No Spacing"/>
    <w:uiPriority w:val="1"/>
    <w:qFormat/>
    <w:rsid w:val="00F80D57"/>
    <w:rPr>
      <w:rFonts w:ascii="Calibri" w:eastAsia="Calibri" w:hAnsi="Calibri"/>
      <w:sz w:val="22"/>
      <w:szCs w:val="22"/>
    </w:rPr>
  </w:style>
  <w:style w:type="paragraph" w:styleId="ListParagraph">
    <w:name w:val="List Paragraph"/>
    <w:basedOn w:val="Normal"/>
    <w:uiPriority w:val="34"/>
    <w:qFormat/>
    <w:rsid w:val="00AF2ACB"/>
    <w:pPr>
      <w:ind w:left="720"/>
    </w:pPr>
  </w:style>
  <w:style w:type="paragraph" w:styleId="Footer">
    <w:name w:val="footer"/>
    <w:basedOn w:val="Normal"/>
    <w:link w:val="FooterChar"/>
    <w:uiPriority w:val="99"/>
    <w:unhideWhenUsed/>
    <w:rsid w:val="00A746F8"/>
    <w:pPr>
      <w:tabs>
        <w:tab w:val="center" w:pos="4680"/>
        <w:tab w:val="right" w:pos="9360"/>
      </w:tabs>
    </w:pPr>
  </w:style>
  <w:style w:type="character" w:customStyle="1" w:styleId="FooterChar">
    <w:name w:val="Footer Char"/>
    <w:link w:val="Footer"/>
    <w:uiPriority w:val="99"/>
    <w:rsid w:val="00A746F8"/>
    <w:rPr>
      <w:sz w:val="24"/>
      <w:szCs w:val="24"/>
    </w:rPr>
  </w:style>
  <w:style w:type="character" w:customStyle="1" w:styleId="HeaderChar">
    <w:name w:val="Header Char"/>
    <w:link w:val="Header"/>
    <w:uiPriority w:val="99"/>
    <w:rsid w:val="00A746F8"/>
    <w:rPr>
      <w:sz w:val="24"/>
    </w:rPr>
  </w:style>
  <w:style w:type="paragraph" w:styleId="BalloonText">
    <w:name w:val="Balloon Text"/>
    <w:basedOn w:val="Normal"/>
    <w:link w:val="BalloonTextChar"/>
    <w:uiPriority w:val="99"/>
    <w:semiHidden/>
    <w:unhideWhenUsed/>
    <w:rsid w:val="00A746F8"/>
    <w:rPr>
      <w:rFonts w:ascii="Tahoma" w:hAnsi="Tahoma" w:cs="Tahoma"/>
      <w:sz w:val="16"/>
      <w:szCs w:val="16"/>
    </w:rPr>
  </w:style>
  <w:style w:type="character" w:customStyle="1" w:styleId="BalloonTextChar">
    <w:name w:val="Balloon Text Char"/>
    <w:link w:val="BalloonText"/>
    <w:uiPriority w:val="99"/>
    <w:semiHidden/>
    <w:rsid w:val="00A746F8"/>
    <w:rPr>
      <w:rFonts w:ascii="Tahoma" w:hAnsi="Tahoma" w:cs="Tahoma"/>
      <w:sz w:val="16"/>
      <w:szCs w:val="16"/>
    </w:rPr>
  </w:style>
  <w:style w:type="table" w:styleId="TableGrid">
    <w:name w:val="Table Grid"/>
    <w:basedOn w:val="TableNormal"/>
    <w:uiPriority w:val="59"/>
    <w:rsid w:val="00DD5C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E586D"/>
    <w:rPr>
      <w:color w:val="0000FF"/>
      <w:u w:val="single"/>
    </w:rPr>
  </w:style>
  <w:style w:type="paragraph" w:styleId="Caption">
    <w:name w:val="caption"/>
    <w:basedOn w:val="Normal"/>
    <w:next w:val="Normal"/>
    <w:uiPriority w:val="35"/>
    <w:unhideWhenUsed/>
    <w:qFormat/>
    <w:rsid w:val="00FD32AD"/>
    <w:pPr>
      <w:spacing w:after="200"/>
    </w:pPr>
    <w:rPr>
      <w:i/>
      <w:iCs/>
      <w:color w:val="1F497D" w:themeColor="text2"/>
      <w:sz w:val="18"/>
      <w:szCs w:val="18"/>
    </w:rPr>
  </w:style>
  <w:style w:type="paragraph" w:styleId="EndnoteText">
    <w:name w:val="endnote text"/>
    <w:basedOn w:val="Normal"/>
    <w:link w:val="EndnoteTextChar"/>
    <w:uiPriority w:val="99"/>
    <w:semiHidden/>
    <w:unhideWhenUsed/>
    <w:rsid w:val="005D2198"/>
    <w:rPr>
      <w:sz w:val="20"/>
      <w:szCs w:val="20"/>
    </w:rPr>
  </w:style>
  <w:style w:type="character" w:customStyle="1" w:styleId="EndnoteTextChar">
    <w:name w:val="Endnote Text Char"/>
    <w:basedOn w:val="DefaultParagraphFont"/>
    <w:link w:val="EndnoteText"/>
    <w:uiPriority w:val="99"/>
    <w:semiHidden/>
    <w:rsid w:val="005D2198"/>
  </w:style>
  <w:style w:type="character" w:styleId="EndnoteReference">
    <w:name w:val="endnote reference"/>
    <w:basedOn w:val="DefaultParagraphFont"/>
    <w:uiPriority w:val="99"/>
    <w:semiHidden/>
    <w:unhideWhenUsed/>
    <w:rsid w:val="005D2198"/>
    <w:rPr>
      <w:vertAlign w:val="superscript"/>
    </w:rPr>
  </w:style>
  <w:style w:type="paragraph" w:styleId="NormalWeb">
    <w:name w:val="Normal (Web)"/>
    <w:basedOn w:val="Normal"/>
    <w:uiPriority w:val="99"/>
    <w:semiHidden/>
    <w:unhideWhenUsed/>
    <w:rsid w:val="00244B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92060">
      <w:bodyDiv w:val="1"/>
      <w:marLeft w:val="0"/>
      <w:marRight w:val="0"/>
      <w:marTop w:val="0"/>
      <w:marBottom w:val="0"/>
      <w:divBdr>
        <w:top w:val="none" w:sz="0" w:space="0" w:color="auto"/>
        <w:left w:val="none" w:sz="0" w:space="0" w:color="auto"/>
        <w:bottom w:val="none" w:sz="0" w:space="0" w:color="auto"/>
        <w:right w:val="none" w:sz="0" w:space="0" w:color="auto"/>
      </w:divBdr>
    </w:div>
    <w:div w:id="794181745">
      <w:bodyDiv w:val="1"/>
      <w:marLeft w:val="0"/>
      <w:marRight w:val="0"/>
      <w:marTop w:val="0"/>
      <w:marBottom w:val="0"/>
      <w:divBdr>
        <w:top w:val="none" w:sz="0" w:space="0" w:color="auto"/>
        <w:left w:val="none" w:sz="0" w:space="0" w:color="auto"/>
        <w:bottom w:val="none" w:sz="0" w:space="0" w:color="auto"/>
        <w:right w:val="none" w:sz="0" w:space="0" w:color="auto"/>
      </w:divBdr>
    </w:div>
    <w:div w:id="1014695183">
      <w:bodyDiv w:val="1"/>
      <w:marLeft w:val="0"/>
      <w:marRight w:val="0"/>
      <w:marTop w:val="0"/>
      <w:marBottom w:val="0"/>
      <w:divBdr>
        <w:top w:val="none" w:sz="0" w:space="0" w:color="auto"/>
        <w:left w:val="none" w:sz="0" w:space="0" w:color="auto"/>
        <w:bottom w:val="none" w:sz="0" w:space="0" w:color="auto"/>
        <w:right w:val="none" w:sz="0" w:space="0" w:color="auto"/>
      </w:divBdr>
    </w:div>
    <w:div w:id="1035542382">
      <w:bodyDiv w:val="1"/>
      <w:marLeft w:val="0"/>
      <w:marRight w:val="0"/>
      <w:marTop w:val="0"/>
      <w:marBottom w:val="0"/>
      <w:divBdr>
        <w:top w:val="none" w:sz="0" w:space="0" w:color="auto"/>
        <w:left w:val="none" w:sz="0" w:space="0" w:color="auto"/>
        <w:bottom w:val="none" w:sz="0" w:space="0" w:color="auto"/>
        <w:right w:val="none" w:sz="0" w:space="0" w:color="auto"/>
      </w:divBdr>
    </w:div>
    <w:div w:id="1102916317">
      <w:bodyDiv w:val="1"/>
      <w:marLeft w:val="0"/>
      <w:marRight w:val="0"/>
      <w:marTop w:val="0"/>
      <w:marBottom w:val="0"/>
      <w:divBdr>
        <w:top w:val="none" w:sz="0" w:space="0" w:color="auto"/>
        <w:left w:val="none" w:sz="0" w:space="0" w:color="auto"/>
        <w:bottom w:val="none" w:sz="0" w:space="0" w:color="auto"/>
        <w:right w:val="none" w:sz="0" w:space="0" w:color="auto"/>
      </w:divBdr>
    </w:div>
    <w:div w:id="1270813147">
      <w:bodyDiv w:val="1"/>
      <w:marLeft w:val="0"/>
      <w:marRight w:val="0"/>
      <w:marTop w:val="0"/>
      <w:marBottom w:val="0"/>
      <w:divBdr>
        <w:top w:val="none" w:sz="0" w:space="0" w:color="auto"/>
        <w:left w:val="none" w:sz="0" w:space="0" w:color="auto"/>
        <w:bottom w:val="none" w:sz="0" w:space="0" w:color="auto"/>
        <w:right w:val="none" w:sz="0" w:space="0" w:color="auto"/>
      </w:divBdr>
    </w:div>
    <w:div w:id="1302350474">
      <w:bodyDiv w:val="1"/>
      <w:marLeft w:val="0"/>
      <w:marRight w:val="0"/>
      <w:marTop w:val="0"/>
      <w:marBottom w:val="0"/>
      <w:divBdr>
        <w:top w:val="none" w:sz="0" w:space="0" w:color="auto"/>
        <w:left w:val="none" w:sz="0" w:space="0" w:color="auto"/>
        <w:bottom w:val="none" w:sz="0" w:space="0" w:color="auto"/>
        <w:right w:val="none" w:sz="0" w:space="0" w:color="auto"/>
      </w:divBdr>
    </w:div>
    <w:div w:id="1304971004">
      <w:bodyDiv w:val="1"/>
      <w:marLeft w:val="0"/>
      <w:marRight w:val="0"/>
      <w:marTop w:val="0"/>
      <w:marBottom w:val="0"/>
      <w:divBdr>
        <w:top w:val="none" w:sz="0" w:space="0" w:color="auto"/>
        <w:left w:val="none" w:sz="0" w:space="0" w:color="auto"/>
        <w:bottom w:val="none" w:sz="0" w:space="0" w:color="auto"/>
        <w:right w:val="none" w:sz="0" w:space="0" w:color="auto"/>
      </w:divBdr>
    </w:div>
    <w:div w:id="177027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ProgramReviews-ComputerScience-Data-Enrollment-1218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ProgramReviews-ComputerScience-Data-Enrollment-1218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ProgramReviews-ComputerScience-Data-Enrollment-1218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CSCCoursesEnrollment&amp;GradeDistribution-16FA-20SU-1218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CSCCoursesEnrollment&amp;GradeDistribution-16FA-20SU-1218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CSCCoursesEnrollment&amp;GradeDistribution-16FA-20SU-1218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CSCCoursesEnrollment&amp;GradeDistribution-16FA-20SU-1218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Women CSC Majors Per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'Major by Gender and Ethnicity'!$F$45</c:f>
              <c:strCache>
                <c:ptCount val="1"/>
                <c:pt idx="0">
                  <c:v>Percent Women CSC Majors</c:v>
                </c:pt>
              </c:strCache>
            </c:strRef>
          </c:tx>
          <c:spPr>
            <a:ln w="28575" cap="rnd">
              <a:solidFill>
                <a:schemeClr val="tx2">
                  <a:lumMod val="75000"/>
                </a:schemeClr>
              </a:solidFill>
              <a:round/>
            </a:ln>
            <a:effectLst/>
          </c:spPr>
          <c:marker>
            <c:symbol val="none"/>
          </c:marker>
          <c:cat>
            <c:strRef>
              <c:f>'Major by Gender and Ethnicity'!$E$45:$E$51</c:f>
              <c:strCache>
                <c:ptCount val="7"/>
                <c:pt idx="0">
                  <c:v>Year</c:v>
                </c:pt>
                <c:pt idx="1">
                  <c:v>2015</c:v>
                </c:pt>
                <c:pt idx="2">
                  <c:v>2016</c:v>
                </c:pt>
                <c:pt idx="3">
                  <c:v>2017</c:v>
                </c:pt>
                <c:pt idx="4">
                  <c:v>2018</c:v>
                </c:pt>
                <c:pt idx="5">
                  <c:v>2019</c:v>
                </c:pt>
                <c:pt idx="6">
                  <c:v>2020</c:v>
                </c:pt>
              </c:strCache>
            </c:strRef>
          </c:cat>
          <c:val>
            <c:numRef>
              <c:f>'Major by Gender and Ethnicity'!$F$46:$F$51</c:f>
              <c:numCache>
                <c:formatCode>General</c:formatCode>
                <c:ptCount val="6"/>
                <c:pt idx="0">
                  <c:v>13</c:v>
                </c:pt>
                <c:pt idx="1">
                  <c:v>14</c:v>
                </c:pt>
                <c:pt idx="2">
                  <c:v>16</c:v>
                </c:pt>
                <c:pt idx="3">
                  <c:v>16</c:v>
                </c:pt>
                <c:pt idx="4">
                  <c:v>16</c:v>
                </c:pt>
                <c:pt idx="5">
                  <c:v>18</c:v>
                </c:pt>
              </c:numCache>
            </c:numRef>
          </c:val>
          <c:smooth val="0"/>
          <c:extLst>
            <c:ext xmlns:c16="http://schemas.microsoft.com/office/drawing/2014/chart" uri="{C3380CC4-5D6E-409C-BE32-E72D297353CC}">
              <c16:uniqueId val="{00000000-8B08-4B59-ADB2-5F9B93F1F010}"/>
            </c:ext>
          </c:extLst>
        </c:ser>
        <c:dLbls>
          <c:showLegendKey val="0"/>
          <c:showVal val="0"/>
          <c:showCatName val="0"/>
          <c:showSerName val="0"/>
          <c:showPercent val="0"/>
          <c:showBubbleSize val="0"/>
        </c:dLbls>
        <c:smooth val="0"/>
        <c:axId val="1607102639"/>
        <c:axId val="1791041551"/>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strRef>
                    <c:extLst>
                      <c:ext uri="{02D57815-91ED-43cb-92C2-25804820EDAC}">
                        <c15:formulaRef>
                          <c15:sqref>'Major by Gender and Ethnicity'!$E$45:$E$51</c15:sqref>
                        </c15:formulaRef>
                      </c:ext>
                    </c:extLst>
                    <c:strCache>
                      <c:ptCount val="7"/>
                      <c:pt idx="0">
                        <c:v>Year</c:v>
                      </c:pt>
                      <c:pt idx="1">
                        <c:v>2015</c:v>
                      </c:pt>
                      <c:pt idx="2">
                        <c:v>2016</c:v>
                      </c:pt>
                      <c:pt idx="3">
                        <c:v>2017</c:v>
                      </c:pt>
                      <c:pt idx="4">
                        <c:v>2018</c:v>
                      </c:pt>
                      <c:pt idx="5">
                        <c:v>2019</c:v>
                      </c:pt>
                      <c:pt idx="6">
                        <c:v>2020</c:v>
                      </c:pt>
                    </c:strCache>
                  </c:strRef>
                </c:cat>
                <c:val>
                  <c:numRef>
                    <c:extLst>
                      <c:ext uri="{02D57815-91ED-43cb-92C2-25804820EDAC}">
                        <c15:formulaRef>
                          <c15:sqref>'Major by Gender and Ethnicity'!$E$46:$E$51</c15:sqref>
                        </c15:formulaRef>
                      </c:ext>
                    </c:extLst>
                    <c:numCache>
                      <c:formatCode>General</c:formatCode>
                      <c:ptCount val="6"/>
                      <c:pt idx="0">
                        <c:v>2015</c:v>
                      </c:pt>
                      <c:pt idx="1">
                        <c:v>2016</c:v>
                      </c:pt>
                      <c:pt idx="2">
                        <c:v>2017</c:v>
                      </c:pt>
                      <c:pt idx="3">
                        <c:v>2018</c:v>
                      </c:pt>
                      <c:pt idx="4">
                        <c:v>2019</c:v>
                      </c:pt>
                      <c:pt idx="5">
                        <c:v>2020</c:v>
                      </c:pt>
                    </c:numCache>
                  </c:numRef>
                </c:val>
                <c:smooth val="0"/>
                <c:extLst>
                  <c:ext xmlns:c16="http://schemas.microsoft.com/office/drawing/2014/chart" uri="{C3380CC4-5D6E-409C-BE32-E72D297353CC}">
                    <c16:uniqueId val="{00000001-8B08-4B59-ADB2-5F9B93F1F01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'Major by Gender and Ethnicity'!$F$46:$F$51</c15:sqref>
                        </c15:formulaRef>
                      </c:ext>
                    </c:extLst>
                    <c:strCache>
                      <c:ptCount val="6"/>
                      <c:pt idx="0">
                        <c:v>13</c:v>
                      </c:pt>
                      <c:pt idx="1">
                        <c:v>14</c:v>
                      </c:pt>
                      <c:pt idx="2">
                        <c:v>16</c:v>
                      </c:pt>
                      <c:pt idx="3">
                        <c:v>16</c:v>
                      </c:pt>
                      <c:pt idx="4">
                        <c:v>16</c:v>
                      </c:pt>
                      <c:pt idx="5">
                        <c:v>18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extLst xmlns:c15="http://schemas.microsoft.com/office/drawing/2012/chart">
                      <c:ext xmlns:c15="http://schemas.microsoft.com/office/drawing/2012/chart" uri="{02D57815-91ED-43cb-92C2-25804820EDAC}">
                        <c15:formulaRef>
                          <c15:sqref>'Major by Gender and Ethnicity'!$E$45:$E$51</c15:sqref>
                        </c15:formulaRef>
                      </c:ext>
                    </c:extLst>
                    <c:strCache>
                      <c:ptCount val="7"/>
                      <c:pt idx="0">
                        <c:v>Year</c:v>
                      </c:pt>
                      <c:pt idx="1">
                        <c:v>2015</c:v>
                      </c:pt>
                      <c:pt idx="2">
                        <c:v>2016</c:v>
                      </c:pt>
                      <c:pt idx="3">
                        <c:v>2017</c:v>
                      </c:pt>
                      <c:pt idx="4">
                        <c:v>2018</c:v>
                      </c:pt>
                      <c:pt idx="5">
                        <c:v>2019</c:v>
                      </c:pt>
                      <c:pt idx="6">
                        <c:v>2020</c:v>
                      </c:pt>
                    </c:strCache>
                  </c:strRef>
                </c:cat>
                <c:val>
                  <c:numLit>
                    <c:ptCount val="0"/>
                  </c:numLit>
                </c:val>
                <c:smooth val="0"/>
                <c:extLst xmlns:c15="http://schemas.microsoft.com/office/drawing/2012/chart">
                  <c:ext xmlns:c16="http://schemas.microsoft.com/office/drawing/2014/chart" uri="{C3380CC4-5D6E-409C-BE32-E72D297353CC}">
                    <c16:uniqueId val="{00000002-8B08-4B59-ADB2-5F9B93F1F010}"/>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'Major by Gender and Ethnicity'!$E$46:$E$51</c15:sqref>
                        </c15:formulaRef>
                      </c:ext>
                    </c:extLst>
                    <c:strCache>
                      <c:ptCount val="6"/>
                      <c:pt idx="0">
                        <c:v>2015</c:v>
                      </c:pt>
                      <c:pt idx="1">
                        <c:v>2016</c:v>
                      </c:pt>
                      <c:pt idx="2">
                        <c:v>2017</c:v>
                      </c:pt>
                      <c:pt idx="3">
                        <c:v>2018</c:v>
                      </c:pt>
                      <c:pt idx="4">
                        <c:v>2019</c:v>
                      </c:pt>
                      <c:pt idx="5">
                        <c:v>2020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xmlns:c15="http://schemas.microsoft.com/office/drawing/2012/chart">
                      <c:ext xmlns:c15="http://schemas.microsoft.com/office/drawing/2012/chart" uri="{02D57815-91ED-43cb-92C2-25804820EDAC}">
                        <c15:formulaRef>
                          <c15:sqref>'Major by Gender and Ethnicity'!$E$45:$E$51</c15:sqref>
                        </c15:formulaRef>
                      </c:ext>
                    </c:extLst>
                    <c:strCache>
                      <c:ptCount val="7"/>
                      <c:pt idx="0">
                        <c:v>Year</c:v>
                      </c:pt>
                      <c:pt idx="1">
                        <c:v>2015</c:v>
                      </c:pt>
                      <c:pt idx="2">
                        <c:v>2016</c:v>
                      </c:pt>
                      <c:pt idx="3">
                        <c:v>2017</c:v>
                      </c:pt>
                      <c:pt idx="4">
                        <c:v>2018</c:v>
                      </c:pt>
                      <c:pt idx="5">
                        <c:v>2019</c:v>
                      </c:pt>
                      <c:pt idx="6">
                        <c:v>2020</c:v>
                      </c:pt>
                    </c:strCache>
                  </c:strRef>
                </c:cat>
                <c:val>
                  <c:numLit>
                    <c:ptCount val="0"/>
                  </c:numLit>
                </c:val>
                <c:smooth val="0"/>
                <c:extLst xmlns:c15="http://schemas.microsoft.com/office/drawing/2012/chart">
                  <c:ext xmlns:c16="http://schemas.microsoft.com/office/drawing/2014/chart" uri="{C3380CC4-5D6E-409C-BE32-E72D297353CC}">
                    <c16:uniqueId val="{00000003-8B08-4B59-ADB2-5F9B93F1F010}"/>
                  </c:ext>
                </c:extLst>
              </c15:ser>
            </c15:filteredLineSeries>
          </c:ext>
        </c:extLst>
      </c:lineChart>
      <c:catAx>
        <c:axId val="1607102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041551"/>
        <c:crosses val="autoZero"/>
        <c:auto val="1"/>
        <c:lblAlgn val="ctr"/>
        <c:lblOffset val="100"/>
        <c:noMultiLvlLbl val="0"/>
      </c:catAx>
      <c:valAx>
        <c:axId val="1791041551"/>
        <c:scaling>
          <c:orientation val="minMax"/>
          <c:max val="5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71026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CSC Majors by 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'Major by Gender and Ethnicity'!$H$45</c:f>
              <c:strCache>
                <c:ptCount val="1"/>
                <c:pt idx="0">
                  <c:v>White</c:v>
                </c:pt>
              </c:strCache>
            </c:strRef>
          </c:tx>
          <c:spPr>
            <a:ln w="28575" cap="rnd">
              <a:solidFill>
                <a:schemeClr val="accent1"/>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Ethnicity'!$H$46:$H$51</c:f>
              <c:numCache>
                <c:formatCode>General</c:formatCode>
                <c:ptCount val="6"/>
                <c:pt idx="0">
                  <c:v>49.4</c:v>
                </c:pt>
                <c:pt idx="1">
                  <c:v>45.1</c:v>
                </c:pt>
                <c:pt idx="2">
                  <c:v>43.1</c:v>
                </c:pt>
                <c:pt idx="3">
                  <c:v>45.3</c:v>
                </c:pt>
                <c:pt idx="4">
                  <c:v>35.700000000000003</c:v>
                </c:pt>
                <c:pt idx="5">
                  <c:v>33.299999999999997</c:v>
                </c:pt>
              </c:numCache>
            </c:numRef>
          </c:val>
          <c:smooth val="0"/>
          <c:extLst>
            <c:ext xmlns:c16="http://schemas.microsoft.com/office/drawing/2014/chart" uri="{C3380CC4-5D6E-409C-BE32-E72D297353CC}">
              <c16:uniqueId val="{00000000-0711-41BB-8D54-756A820763AB}"/>
            </c:ext>
          </c:extLst>
        </c:ser>
        <c:ser>
          <c:idx val="1"/>
          <c:order val="1"/>
          <c:tx>
            <c:strRef>
              <c:f>'Major by Gender and Ethnicity'!$I$45</c:f>
              <c:strCache>
                <c:ptCount val="1"/>
                <c:pt idx="0">
                  <c:v>Hispanic</c:v>
                </c:pt>
              </c:strCache>
            </c:strRef>
          </c:tx>
          <c:spPr>
            <a:ln w="28575" cap="rnd">
              <a:solidFill>
                <a:schemeClr val="accent2"/>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Ethnicity'!$I$46:$I$51</c:f>
              <c:numCache>
                <c:formatCode>General</c:formatCode>
                <c:ptCount val="6"/>
                <c:pt idx="0">
                  <c:v>28.6</c:v>
                </c:pt>
                <c:pt idx="1">
                  <c:v>31.9</c:v>
                </c:pt>
                <c:pt idx="2">
                  <c:v>29.4</c:v>
                </c:pt>
                <c:pt idx="3">
                  <c:v>32.1</c:v>
                </c:pt>
                <c:pt idx="4">
                  <c:v>40.799999999999997</c:v>
                </c:pt>
                <c:pt idx="5">
                  <c:v>43</c:v>
                </c:pt>
              </c:numCache>
            </c:numRef>
          </c:val>
          <c:smooth val="0"/>
          <c:extLst>
            <c:ext xmlns:c16="http://schemas.microsoft.com/office/drawing/2014/chart" uri="{C3380CC4-5D6E-409C-BE32-E72D297353CC}">
              <c16:uniqueId val="{00000001-0711-41BB-8D54-756A820763AB}"/>
            </c:ext>
          </c:extLst>
        </c:ser>
        <c:ser>
          <c:idx val="2"/>
          <c:order val="2"/>
          <c:tx>
            <c:strRef>
              <c:f>'Major by Gender and Ethnicity'!$J$45</c:f>
              <c:strCache>
                <c:ptCount val="1"/>
                <c:pt idx="0">
                  <c:v>Black</c:v>
                </c:pt>
              </c:strCache>
            </c:strRef>
          </c:tx>
          <c:spPr>
            <a:ln w="28575" cap="rnd">
              <a:solidFill>
                <a:schemeClr val="accent3"/>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Ethnicity'!$J$46:$J$51</c:f>
              <c:numCache>
                <c:formatCode>General</c:formatCode>
                <c:ptCount val="6"/>
                <c:pt idx="0">
                  <c:v>11.7</c:v>
                </c:pt>
                <c:pt idx="1">
                  <c:v>13.2</c:v>
                </c:pt>
                <c:pt idx="2">
                  <c:v>14.7</c:v>
                </c:pt>
                <c:pt idx="3">
                  <c:v>9.4</c:v>
                </c:pt>
                <c:pt idx="4">
                  <c:v>5.0999999999999996</c:v>
                </c:pt>
                <c:pt idx="5">
                  <c:v>3.5</c:v>
                </c:pt>
              </c:numCache>
            </c:numRef>
          </c:val>
          <c:smooth val="0"/>
          <c:extLst>
            <c:ext xmlns:c16="http://schemas.microsoft.com/office/drawing/2014/chart" uri="{C3380CC4-5D6E-409C-BE32-E72D297353CC}">
              <c16:uniqueId val="{00000002-0711-41BB-8D54-756A820763AB}"/>
            </c:ext>
          </c:extLst>
        </c:ser>
        <c:ser>
          <c:idx val="3"/>
          <c:order val="3"/>
          <c:tx>
            <c:strRef>
              <c:f>'Major by Gender and Ethnicity'!$K$45</c:f>
              <c:strCache>
                <c:ptCount val="1"/>
                <c:pt idx="0">
                  <c:v>Asian</c:v>
                </c:pt>
              </c:strCache>
            </c:strRef>
          </c:tx>
          <c:spPr>
            <a:ln w="28575" cap="rnd">
              <a:solidFill>
                <a:schemeClr val="accent4"/>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Ethnicity'!$K$46:$K$51</c:f>
              <c:numCache>
                <c:formatCode>General</c:formatCode>
                <c:ptCount val="6"/>
                <c:pt idx="0">
                  <c:v>5.2</c:v>
                </c:pt>
                <c:pt idx="1">
                  <c:v>4.4000000000000004</c:v>
                </c:pt>
                <c:pt idx="2">
                  <c:v>4.5999999999999996</c:v>
                </c:pt>
                <c:pt idx="3">
                  <c:v>4.7</c:v>
                </c:pt>
                <c:pt idx="4">
                  <c:v>6.1</c:v>
                </c:pt>
                <c:pt idx="5">
                  <c:v>7.9</c:v>
                </c:pt>
              </c:numCache>
            </c:numRef>
          </c:val>
          <c:smooth val="0"/>
          <c:extLst>
            <c:ext xmlns:c16="http://schemas.microsoft.com/office/drawing/2014/chart" uri="{C3380CC4-5D6E-409C-BE32-E72D297353CC}">
              <c16:uniqueId val="{00000003-0711-41BB-8D54-756A820763AB}"/>
            </c:ext>
          </c:extLst>
        </c:ser>
        <c:ser>
          <c:idx val="4"/>
          <c:order val="4"/>
          <c:tx>
            <c:strRef>
              <c:f>'Major by Gender and Ethnicity'!$L$45</c:f>
              <c:strCache>
                <c:ptCount val="1"/>
                <c:pt idx="0">
                  <c:v>Other</c:v>
                </c:pt>
              </c:strCache>
            </c:strRef>
          </c:tx>
          <c:spPr>
            <a:ln w="28575" cap="rnd">
              <a:solidFill>
                <a:schemeClr val="accent5"/>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Ethnicity'!$L$46:$L$51</c:f>
              <c:numCache>
                <c:formatCode>General</c:formatCode>
                <c:ptCount val="6"/>
                <c:pt idx="0">
                  <c:v>5.2</c:v>
                </c:pt>
                <c:pt idx="1">
                  <c:v>5.5</c:v>
                </c:pt>
                <c:pt idx="2">
                  <c:v>8.3000000000000007</c:v>
                </c:pt>
                <c:pt idx="3">
                  <c:v>8.5</c:v>
                </c:pt>
                <c:pt idx="4">
                  <c:v>12.2</c:v>
                </c:pt>
                <c:pt idx="5">
                  <c:v>12.3</c:v>
                </c:pt>
              </c:numCache>
            </c:numRef>
          </c:val>
          <c:smooth val="0"/>
          <c:extLst>
            <c:ext xmlns:c16="http://schemas.microsoft.com/office/drawing/2014/chart" uri="{C3380CC4-5D6E-409C-BE32-E72D297353CC}">
              <c16:uniqueId val="{00000004-0711-41BB-8D54-756A820763AB}"/>
            </c:ext>
          </c:extLst>
        </c:ser>
        <c:dLbls>
          <c:showLegendKey val="0"/>
          <c:showVal val="0"/>
          <c:showCatName val="0"/>
          <c:showSerName val="0"/>
          <c:showPercent val="0"/>
          <c:showBubbleSize val="0"/>
        </c:dLbls>
        <c:smooth val="0"/>
        <c:axId val="1601438719"/>
        <c:axId val="1601439135"/>
      </c:lineChart>
      <c:catAx>
        <c:axId val="160143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1439135"/>
        <c:crosses val="autoZero"/>
        <c:auto val="1"/>
        <c:lblAlgn val="ctr"/>
        <c:lblOffset val="100"/>
        <c:noMultiLvlLbl val="0"/>
      </c:catAx>
      <c:valAx>
        <c:axId val="1601439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1438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CSC</a:t>
            </a:r>
            <a:r>
              <a:rPr lang="en-US" baseline="0"/>
              <a:t> Majors By Age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'[ProgramReviews-ComputerScience-Data-Enrollment-121820.xlsx]Major by Age Group'!$C$10</c:f>
              <c:strCache>
                <c:ptCount val="1"/>
                <c:pt idx="0">
                  <c:v>16-22</c:v>
                </c:pt>
              </c:strCache>
            </c:strRef>
          </c:tx>
          <c:spPr>
            <a:ln w="28575" cap="rnd">
              <a:solidFill>
                <a:schemeClr val="accent1"/>
              </a:solidFill>
              <a:round/>
            </a:ln>
            <a:effectLst/>
          </c:spPr>
          <c:marker>
            <c:symbol val="none"/>
          </c:marker>
          <c:cat>
            <c:numRef>
              <c:f>'[ProgramReviews-ComputerScience-Data-Enrollment-121820.xlsx]Major by Age Group'!$B$11:$B$16</c:f>
              <c:numCache>
                <c:formatCode>General</c:formatCode>
                <c:ptCount val="6"/>
                <c:pt idx="0">
                  <c:v>2015</c:v>
                </c:pt>
                <c:pt idx="1">
                  <c:v>2016</c:v>
                </c:pt>
                <c:pt idx="2">
                  <c:v>2017</c:v>
                </c:pt>
                <c:pt idx="3">
                  <c:v>2018</c:v>
                </c:pt>
                <c:pt idx="4">
                  <c:v>2019</c:v>
                </c:pt>
                <c:pt idx="5">
                  <c:v>2020</c:v>
                </c:pt>
              </c:numCache>
            </c:numRef>
          </c:cat>
          <c:val>
            <c:numRef>
              <c:f>'[ProgramReviews-ComputerScience-Data-Enrollment-121820.xlsx]Major by Age Group'!$C$11:$C$16</c:f>
              <c:numCache>
                <c:formatCode>General</c:formatCode>
                <c:ptCount val="6"/>
                <c:pt idx="0">
                  <c:v>60</c:v>
                </c:pt>
                <c:pt idx="1">
                  <c:v>72</c:v>
                </c:pt>
                <c:pt idx="2">
                  <c:v>84</c:v>
                </c:pt>
                <c:pt idx="3">
                  <c:v>83</c:v>
                </c:pt>
                <c:pt idx="4">
                  <c:v>82</c:v>
                </c:pt>
                <c:pt idx="5">
                  <c:v>98</c:v>
                </c:pt>
              </c:numCache>
            </c:numRef>
          </c:val>
          <c:smooth val="0"/>
          <c:extLst>
            <c:ext xmlns:c16="http://schemas.microsoft.com/office/drawing/2014/chart" uri="{C3380CC4-5D6E-409C-BE32-E72D297353CC}">
              <c16:uniqueId val="{00000000-AEC8-4EF1-8F9D-BDC23C6CF54C}"/>
            </c:ext>
          </c:extLst>
        </c:ser>
        <c:ser>
          <c:idx val="1"/>
          <c:order val="1"/>
          <c:tx>
            <c:strRef>
              <c:f>'[ProgramReviews-ComputerScience-Data-Enrollment-121820.xlsx]Major by Age Group'!$D$10</c:f>
              <c:strCache>
                <c:ptCount val="1"/>
                <c:pt idx="0">
                  <c:v>23-29</c:v>
                </c:pt>
              </c:strCache>
            </c:strRef>
          </c:tx>
          <c:spPr>
            <a:ln w="28575" cap="rnd">
              <a:solidFill>
                <a:schemeClr val="accent2"/>
              </a:solidFill>
              <a:round/>
            </a:ln>
            <a:effectLst/>
          </c:spPr>
          <c:marker>
            <c:symbol val="none"/>
          </c:marker>
          <c:cat>
            <c:numRef>
              <c:f>'[ProgramReviews-ComputerScience-Data-Enrollment-121820.xlsx]Major by Age Group'!$B$11:$B$16</c:f>
              <c:numCache>
                <c:formatCode>General</c:formatCode>
                <c:ptCount val="6"/>
                <c:pt idx="0">
                  <c:v>2015</c:v>
                </c:pt>
                <c:pt idx="1">
                  <c:v>2016</c:v>
                </c:pt>
                <c:pt idx="2">
                  <c:v>2017</c:v>
                </c:pt>
                <c:pt idx="3">
                  <c:v>2018</c:v>
                </c:pt>
                <c:pt idx="4">
                  <c:v>2019</c:v>
                </c:pt>
                <c:pt idx="5">
                  <c:v>2020</c:v>
                </c:pt>
              </c:numCache>
            </c:numRef>
          </c:cat>
          <c:val>
            <c:numRef>
              <c:f>'[ProgramReviews-ComputerScience-Data-Enrollment-121820.xlsx]Major by Age Group'!$D$11:$D$16</c:f>
              <c:numCache>
                <c:formatCode>General</c:formatCode>
                <c:ptCount val="6"/>
                <c:pt idx="0">
                  <c:v>16</c:v>
                </c:pt>
                <c:pt idx="1">
                  <c:v>16</c:v>
                </c:pt>
                <c:pt idx="2">
                  <c:v>19</c:v>
                </c:pt>
                <c:pt idx="3">
                  <c:v>18</c:v>
                </c:pt>
                <c:pt idx="4">
                  <c:v>19</c:v>
                </c:pt>
                <c:pt idx="5">
                  <c:v>12</c:v>
                </c:pt>
              </c:numCache>
            </c:numRef>
          </c:val>
          <c:smooth val="0"/>
          <c:extLst>
            <c:ext xmlns:c16="http://schemas.microsoft.com/office/drawing/2014/chart" uri="{C3380CC4-5D6E-409C-BE32-E72D297353CC}">
              <c16:uniqueId val="{00000001-AEC8-4EF1-8F9D-BDC23C6CF54C}"/>
            </c:ext>
          </c:extLst>
        </c:ser>
        <c:ser>
          <c:idx val="2"/>
          <c:order val="2"/>
          <c:tx>
            <c:strRef>
              <c:f>'[ProgramReviews-ComputerScience-Data-Enrollment-121820.xlsx]Major by Age Group'!$E$10</c:f>
              <c:strCache>
                <c:ptCount val="1"/>
                <c:pt idx="0">
                  <c:v>30+</c:v>
                </c:pt>
              </c:strCache>
            </c:strRef>
          </c:tx>
          <c:spPr>
            <a:ln w="28575" cap="rnd">
              <a:solidFill>
                <a:schemeClr val="accent3"/>
              </a:solidFill>
              <a:round/>
            </a:ln>
            <a:effectLst/>
          </c:spPr>
          <c:marker>
            <c:symbol val="none"/>
          </c:marker>
          <c:cat>
            <c:numRef>
              <c:f>'[ProgramReviews-ComputerScience-Data-Enrollment-121820.xlsx]Major by Age Group'!$B$11:$B$16</c:f>
              <c:numCache>
                <c:formatCode>General</c:formatCode>
                <c:ptCount val="6"/>
                <c:pt idx="0">
                  <c:v>2015</c:v>
                </c:pt>
                <c:pt idx="1">
                  <c:v>2016</c:v>
                </c:pt>
                <c:pt idx="2">
                  <c:v>2017</c:v>
                </c:pt>
                <c:pt idx="3">
                  <c:v>2018</c:v>
                </c:pt>
                <c:pt idx="4">
                  <c:v>2019</c:v>
                </c:pt>
                <c:pt idx="5">
                  <c:v>2020</c:v>
                </c:pt>
              </c:numCache>
            </c:numRef>
          </c:cat>
          <c:val>
            <c:numRef>
              <c:f>'[ProgramReviews-ComputerScience-Data-Enrollment-121820.xlsx]Major by Age Group'!$E$11:$E$16</c:f>
              <c:numCache>
                <c:formatCode>General</c:formatCode>
                <c:ptCount val="6"/>
                <c:pt idx="0">
                  <c:v>1</c:v>
                </c:pt>
                <c:pt idx="1">
                  <c:v>3</c:v>
                </c:pt>
                <c:pt idx="2">
                  <c:v>6</c:v>
                </c:pt>
                <c:pt idx="3">
                  <c:v>5</c:v>
                </c:pt>
                <c:pt idx="4">
                  <c:v>6</c:v>
                </c:pt>
                <c:pt idx="5">
                  <c:v>3</c:v>
                </c:pt>
              </c:numCache>
            </c:numRef>
          </c:val>
          <c:smooth val="0"/>
          <c:extLst>
            <c:ext xmlns:c16="http://schemas.microsoft.com/office/drawing/2014/chart" uri="{C3380CC4-5D6E-409C-BE32-E72D297353CC}">
              <c16:uniqueId val="{00000002-AEC8-4EF1-8F9D-BDC23C6CF54C}"/>
            </c:ext>
          </c:extLst>
        </c:ser>
        <c:dLbls>
          <c:showLegendKey val="0"/>
          <c:showVal val="0"/>
          <c:showCatName val="0"/>
          <c:showSerName val="0"/>
          <c:showPercent val="0"/>
          <c:showBubbleSize val="0"/>
        </c:dLbls>
        <c:smooth val="0"/>
        <c:axId val="1610077407"/>
        <c:axId val="1610079071"/>
      </c:lineChart>
      <c:catAx>
        <c:axId val="1610077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079071"/>
        <c:crosses val="autoZero"/>
        <c:auto val="1"/>
        <c:lblAlgn val="ctr"/>
        <c:lblOffset val="100"/>
        <c:noMultiLvlLbl val="0"/>
      </c:catAx>
      <c:valAx>
        <c:axId val="1610079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077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Grade Per Required CSC Course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All!$A$2</c:f>
              <c:strCache>
                <c:ptCount val="1"/>
                <c:pt idx="0">
                  <c:v>CCSC1010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All!$B$1:$G$1</c:f>
              <c:strCache>
                <c:ptCount val="6"/>
                <c:pt idx="0">
                  <c:v>A</c:v>
                </c:pt>
                <c:pt idx="1">
                  <c:v>B</c:v>
                </c:pt>
                <c:pt idx="2">
                  <c:v>C</c:v>
                </c:pt>
                <c:pt idx="3">
                  <c:v>D</c:v>
                </c:pt>
                <c:pt idx="4">
                  <c:v>F</c:v>
                </c:pt>
                <c:pt idx="5">
                  <c:v>W</c:v>
                </c:pt>
              </c:strCache>
            </c:strRef>
          </c:cat>
          <c:val>
            <c:numRef>
              <c:f>All!$B$2:$G$2</c:f>
            </c:numRef>
          </c:val>
          <c:smooth val="0"/>
          <c:extLst>
            <c:ext xmlns:c16="http://schemas.microsoft.com/office/drawing/2014/chart" uri="{C3380CC4-5D6E-409C-BE32-E72D297353CC}">
              <c16:uniqueId val="{00000000-0773-4F2F-94F0-A3E2F2715BB9}"/>
            </c:ext>
          </c:extLst>
        </c:ser>
        <c:ser>
          <c:idx val="1"/>
          <c:order val="1"/>
          <c:tx>
            <c:strRef>
              <c:f>All!$A$3</c:f>
              <c:strCache>
                <c:ptCount val="1"/>
                <c:pt idx="0">
                  <c:v>CSC1700</c:v>
                </c:pt>
              </c:strCache>
            </c:strRef>
          </c:tx>
          <c:spPr>
            <a:ln w="28575" cap="rnd">
              <a:solidFill>
                <a:schemeClr val="accent2"/>
              </a:solidFill>
              <a:round/>
            </a:ln>
            <a:effectLst/>
          </c:spPr>
          <c:marker>
            <c:symbol val="none"/>
          </c:marker>
          <c:cat>
            <c:strRef>
              <c:f>All!$B$1:$G$1</c:f>
              <c:strCache>
                <c:ptCount val="6"/>
                <c:pt idx="0">
                  <c:v>A</c:v>
                </c:pt>
                <c:pt idx="1">
                  <c:v>B</c:v>
                </c:pt>
                <c:pt idx="2">
                  <c:v>C</c:v>
                </c:pt>
                <c:pt idx="3">
                  <c:v>D</c:v>
                </c:pt>
                <c:pt idx="4">
                  <c:v>F</c:v>
                </c:pt>
                <c:pt idx="5">
                  <c:v>W</c:v>
                </c:pt>
              </c:strCache>
            </c:strRef>
          </c:cat>
          <c:val>
            <c:numRef>
              <c:f>All!$B$3:$G$3</c:f>
              <c:numCache>
                <c:formatCode>General</c:formatCode>
                <c:ptCount val="6"/>
                <c:pt idx="0">
                  <c:v>30</c:v>
                </c:pt>
                <c:pt idx="1">
                  <c:v>28</c:v>
                </c:pt>
                <c:pt idx="2">
                  <c:v>16</c:v>
                </c:pt>
                <c:pt idx="3">
                  <c:v>5</c:v>
                </c:pt>
                <c:pt idx="4">
                  <c:v>9</c:v>
                </c:pt>
                <c:pt idx="5">
                  <c:v>12</c:v>
                </c:pt>
              </c:numCache>
            </c:numRef>
          </c:val>
          <c:smooth val="0"/>
          <c:extLst>
            <c:ext xmlns:c16="http://schemas.microsoft.com/office/drawing/2014/chart" uri="{C3380CC4-5D6E-409C-BE32-E72D297353CC}">
              <c16:uniqueId val="{00000001-0773-4F2F-94F0-A3E2F2715BB9}"/>
            </c:ext>
          </c:extLst>
        </c:ser>
        <c:ser>
          <c:idx val="2"/>
          <c:order val="2"/>
          <c:tx>
            <c:strRef>
              <c:f>All!$A$4</c:f>
              <c:strCache>
                <c:ptCount val="1"/>
                <c:pt idx="0">
                  <c:v>CSC2200 </c:v>
                </c:pt>
              </c:strCache>
            </c:strRef>
          </c:tx>
          <c:spPr>
            <a:ln w="28575" cap="rnd">
              <a:solidFill>
                <a:schemeClr val="accent3"/>
              </a:solidFill>
              <a:round/>
            </a:ln>
            <a:effectLst/>
          </c:spPr>
          <c:marker>
            <c:symbol val="none"/>
          </c:marker>
          <c:cat>
            <c:strRef>
              <c:f>All!$B$1:$G$1</c:f>
              <c:strCache>
                <c:ptCount val="6"/>
                <c:pt idx="0">
                  <c:v>A</c:v>
                </c:pt>
                <c:pt idx="1">
                  <c:v>B</c:v>
                </c:pt>
                <c:pt idx="2">
                  <c:v>C</c:v>
                </c:pt>
                <c:pt idx="3">
                  <c:v>D</c:v>
                </c:pt>
                <c:pt idx="4">
                  <c:v>F</c:v>
                </c:pt>
                <c:pt idx="5">
                  <c:v>W</c:v>
                </c:pt>
              </c:strCache>
            </c:strRef>
          </c:cat>
          <c:val>
            <c:numRef>
              <c:f>All!$B$4:$G$4</c:f>
              <c:numCache>
                <c:formatCode>General</c:formatCode>
                <c:ptCount val="6"/>
                <c:pt idx="0">
                  <c:v>37</c:v>
                </c:pt>
                <c:pt idx="1">
                  <c:v>30</c:v>
                </c:pt>
                <c:pt idx="2">
                  <c:v>19</c:v>
                </c:pt>
                <c:pt idx="3">
                  <c:v>3</c:v>
                </c:pt>
                <c:pt idx="4">
                  <c:v>5</c:v>
                </c:pt>
                <c:pt idx="5">
                  <c:v>6</c:v>
                </c:pt>
              </c:numCache>
            </c:numRef>
          </c:val>
          <c:smooth val="0"/>
          <c:extLst>
            <c:ext xmlns:c16="http://schemas.microsoft.com/office/drawing/2014/chart" uri="{C3380CC4-5D6E-409C-BE32-E72D297353CC}">
              <c16:uniqueId val="{00000002-0773-4F2F-94F0-A3E2F2715BB9}"/>
            </c:ext>
          </c:extLst>
        </c:ser>
        <c:ser>
          <c:idx val="3"/>
          <c:order val="3"/>
          <c:tx>
            <c:strRef>
              <c:f>All!$A$5</c:f>
              <c:strCache>
                <c:ptCount val="1"/>
                <c:pt idx="0">
                  <c:v>CSC2300 </c:v>
                </c:pt>
              </c:strCache>
            </c:strRef>
          </c:tx>
          <c:spPr>
            <a:ln w="28575" cap="rnd">
              <a:solidFill>
                <a:schemeClr val="accent4"/>
              </a:solidFill>
              <a:round/>
            </a:ln>
            <a:effectLst/>
          </c:spPr>
          <c:marker>
            <c:symbol val="none"/>
          </c:marker>
          <c:cat>
            <c:strRef>
              <c:f>All!$B$1:$G$1</c:f>
              <c:strCache>
                <c:ptCount val="6"/>
                <c:pt idx="0">
                  <c:v>A</c:v>
                </c:pt>
                <c:pt idx="1">
                  <c:v>B</c:v>
                </c:pt>
                <c:pt idx="2">
                  <c:v>C</c:v>
                </c:pt>
                <c:pt idx="3">
                  <c:v>D</c:v>
                </c:pt>
                <c:pt idx="4">
                  <c:v>F</c:v>
                </c:pt>
                <c:pt idx="5">
                  <c:v>W</c:v>
                </c:pt>
              </c:strCache>
            </c:strRef>
          </c:cat>
          <c:val>
            <c:numRef>
              <c:f>All!$B$5:$G$5</c:f>
              <c:numCache>
                <c:formatCode>General</c:formatCode>
                <c:ptCount val="6"/>
                <c:pt idx="0">
                  <c:v>36</c:v>
                </c:pt>
                <c:pt idx="1">
                  <c:v>37</c:v>
                </c:pt>
                <c:pt idx="2">
                  <c:v>16</c:v>
                </c:pt>
                <c:pt idx="3">
                  <c:v>3</c:v>
                </c:pt>
                <c:pt idx="4">
                  <c:v>7</c:v>
                </c:pt>
                <c:pt idx="5">
                  <c:v>0</c:v>
                </c:pt>
              </c:numCache>
            </c:numRef>
          </c:val>
          <c:smooth val="0"/>
          <c:extLst>
            <c:ext xmlns:c16="http://schemas.microsoft.com/office/drawing/2014/chart" uri="{C3380CC4-5D6E-409C-BE32-E72D297353CC}">
              <c16:uniqueId val="{00000003-0773-4F2F-94F0-A3E2F2715BB9}"/>
            </c:ext>
          </c:extLst>
        </c:ser>
        <c:ser>
          <c:idx val="4"/>
          <c:order val="4"/>
          <c:tx>
            <c:strRef>
              <c:f>All!$A$6</c:f>
              <c:strCache>
                <c:ptCount val="1"/>
                <c:pt idx="0">
                  <c:v>CSC2650 </c:v>
                </c:pt>
              </c:strCache>
            </c:strRef>
          </c:tx>
          <c:spPr>
            <a:ln w="28575" cap="rnd">
              <a:solidFill>
                <a:schemeClr val="accent5"/>
              </a:solidFill>
              <a:round/>
            </a:ln>
            <a:effectLst/>
          </c:spPr>
          <c:marker>
            <c:symbol val="none"/>
          </c:marker>
          <c:cat>
            <c:strRef>
              <c:f>All!$B$1:$G$1</c:f>
              <c:strCache>
                <c:ptCount val="6"/>
                <c:pt idx="0">
                  <c:v>A</c:v>
                </c:pt>
                <c:pt idx="1">
                  <c:v>B</c:v>
                </c:pt>
                <c:pt idx="2">
                  <c:v>C</c:v>
                </c:pt>
                <c:pt idx="3">
                  <c:v>D</c:v>
                </c:pt>
                <c:pt idx="4">
                  <c:v>F</c:v>
                </c:pt>
                <c:pt idx="5">
                  <c:v>W</c:v>
                </c:pt>
              </c:strCache>
            </c:strRef>
          </c:cat>
          <c:val>
            <c:numRef>
              <c:f>All!$B$6:$G$6</c:f>
              <c:numCache>
                <c:formatCode>General</c:formatCode>
                <c:ptCount val="6"/>
                <c:pt idx="0">
                  <c:v>23</c:v>
                </c:pt>
                <c:pt idx="1">
                  <c:v>31</c:v>
                </c:pt>
                <c:pt idx="2">
                  <c:v>22</c:v>
                </c:pt>
                <c:pt idx="3">
                  <c:v>6</c:v>
                </c:pt>
                <c:pt idx="4">
                  <c:v>4</c:v>
                </c:pt>
                <c:pt idx="5">
                  <c:v>9</c:v>
                </c:pt>
              </c:numCache>
            </c:numRef>
          </c:val>
          <c:smooth val="0"/>
          <c:extLst>
            <c:ext xmlns:c16="http://schemas.microsoft.com/office/drawing/2014/chart" uri="{C3380CC4-5D6E-409C-BE32-E72D297353CC}">
              <c16:uniqueId val="{00000004-0773-4F2F-94F0-A3E2F2715BB9}"/>
            </c:ext>
          </c:extLst>
        </c:ser>
        <c:ser>
          <c:idx val="5"/>
          <c:order val="5"/>
          <c:tx>
            <c:strRef>
              <c:f>All!$A$7</c:f>
              <c:strCache>
                <c:ptCount val="1"/>
                <c:pt idx="0">
                  <c:v>CSC3610 </c:v>
                </c:pt>
              </c:strCache>
            </c:strRef>
          </c:tx>
          <c:spPr>
            <a:ln w="28575" cap="rnd">
              <a:solidFill>
                <a:schemeClr val="accent6"/>
              </a:solidFill>
              <a:round/>
            </a:ln>
            <a:effectLst/>
          </c:spPr>
          <c:marker>
            <c:symbol val="none"/>
          </c:marker>
          <c:cat>
            <c:strRef>
              <c:f>All!$B$1:$G$1</c:f>
              <c:strCache>
                <c:ptCount val="6"/>
                <c:pt idx="0">
                  <c:v>A</c:v>
                </c:pt>
                <c:pt idx="1">
                  <c:v>B</c:v>
                </c:pt>
                <c:pt idx="2">
                  <c:v>C</c:v>
                </c:pt>
                <c:pt idx="3">
                  <c:v>D</c:v>
                </c:pt>
                <c:pt idx="4">
                  <c:v>F</c:v>
                </c:pt>
                <c:pt idx="5">
                  <c:v>W</c:v>
                </c:pt>
              </c:strCache>
            </c:strRef>
          </c:cat>
          <c:val>
            <c:numRef>
              <c:f>All!$B$7:$G$7</c:f>
              <c:numCache>
                <c:formatCode>General</c:formatCode>
                <c:ptCount val="6"/>
                <c:pt idx="0">
                  <c:v>30</c:v>
                </c:pt>
                <c:pt idx="1">
                  <c:v>40</c:v>
                </c:pt>
                <c:pt idx="2">
                  <c:v>20</c:v>
                </c:pt>
                <c:pt idx="3">
                  <c:v>0</c:v>
                </c:pt>
                <c:pt idx="4">
                  <c:v>0</c:v>
                </c:pt>
                <c:pt idx="5">
                  <c:v>0</c:v>
                </c:pt>
              </c:numCache>
            </c:numRef>
          </c:val>
          <c:smooth val="0"/>
          <c:extLst>
            <c:ext xmlns:c16="http://schemas.microsoft.com/office/drawing/2014/chart" uri="{C3380CC4-5D6E-409C-BE32-E72D297353CC}">
              <c16:uniqueId val="{00000005-0773-4F2F-94F0-A3E2F2715BB9}"/>
            </c:ext>
          </c:extLst>
        </c:ser>
        <c:ser>
          <c:idx val="7"/>
          <c:order val="7"/>
          <c:tx>
            <c:strRef>
              <c:f>All!$A$9</c:f>
              <c:strCache>
                <c:ptCount val="1"/>
                <c:pt idx="0">
                  <c:v>CSC4500 </c:v>
                </c:pt>
              </c:strCache>
            </c:strRef>
          </c:tx>
          <c:spPr>
            <a:ln w="28575" cap="rnd">
              <a:solidFill>
                <a:schemeClr val="accent2">
                  <a:lumMod val="60000"/>
                </a:schemeClr>
              </a:solidFill>
              <a:round/>
            </a:ln>
            <a:effectLst/>
          </c:spPr>
          <c:marker>
            <c:symbol val="none"/>
          </c:marker>
          <c:cat>
            <c:strRef>
              <c:f>All!$B$1:$G$1</c:f>
              <c:strCache>
                <c:ptCount val="6"/>
                <c:pt idx="0">
                  <c:v>A</c:v>
                </c:pt>
                <c:pt idx="1">
                  <c:v>B</c:v>
                </c:pt>
                <c:pt idx="2">
                  <c:v>C</c:v>
                </c:pt>
                <c:pt idx="3">
                  <c:v>D</c:v>
                </c:pt>
                <c:pt idx="4">
                  <c:v>F</c:v>
                </c:pt>
                <c:pt idx="5">
                  <c:v>W</c:v>
                </c:pt>
              </c:strCache>
            </c:strRef>
          </c:cat>
          <c:val>
            <c:numRef>
              <c:f>All!$B$9:$G$9</c:f>
              <c:numCache>
                <c:formatCode>General</c:formatCode>
                <c:ptCount val="6"/>
                <c:pt idx="0">
                  <c:v>42</c:v>
                </c:pt>
                <c:pt idx="1">
                  <c:v>42</c:v>
                </c:pt>
                <c:pt idx="2">
                  <c:v>11</c:v>
                </c:pt>
                <c:pt idx="3">
                  <c:v>2</c:v>
                </c:pt>
                <c:pt idx="4">
                  <c:v>2</c:v>
                </c:pt>
                <c:pt idx="5">
                  <c:v>1</c:v>
                </c:pt>
              </c:numCache>
            </c:numRef>
          </c:val>
          <c:smooth val="0"/>
          <c:extLst>
            <c:ext xmlns:c16="http://schemas.microsoft.com/office/drawing/2014/chart" uri="{C3380CC4-5D6E-409C-BE32-E72D297353CC}">
              <c16:uniqueId val="{00000006-0773-4F2F-94F0-A3E2F2715BB9}"/>
            </c:ext>
          </c:extLst>
        </c:ser>
        <c:ser>
          <c:idx val="8"/>
          <c:order val="8"/>
          <c:tx>
            <c:strRef>
              <c:f>All!$A$10</c:f>
              <c:strCache>
                <c:ptCount val="1"/>
                <c:pt idx="0">
                  <c:v>CSC4990 </c:v>
                </c:pt>
              </c:strCache>
            </c:strRef>
          </c:tx>
          <c:spPr>
            <a:ln w="28575" cap="rnd">
              <a:solidFill>
                <a:schemeClr val="accent3">
                  <a:lumMod val="60000"/>
                </a:schemeClr>
              </a:solidFill>
              <a:round/>
            </a:ln>
            <a:effectLst/>
          </c:spPr>
          <c:marker>
            <c:symbol val="none"/>
          </c:marker>
          <c:cat>
            <c:strRef>
              <c:f>All!$B$1:$G$1</c:f>
              <c:strCache>
                <c:ptCount val="6"/>
                <c:pt idx="0">
                  <c:v>A</c:v>
                </c:pt>
                <c:pt idx="1">
                  <c:v>B</c:v>
                </c:pt>
                <c:pt idx="2">
                  <c:v>C</c:v>
                </c:pt>
                <c:pt idx="3">
                  <c:v>D</c:v>
                </c:pt>
                <c:pt idx="4">
                  <c:v>F</c:v>
                </c:pt>
                <c:pt idx="5">
                  <c:v>W</c:v>
                </c:pt>
              </c:strCache>
            </c:strRef>
          </c:cat>
          <c:val>
            <c:numRef>
              <c:f>All!$B$10:$G$10</c:f>
              <c:numCache>
                <c:formatCode>General</c:formatCode>
                <c:ptCount val="6"/>
                <c:pt idx="0">
                  <c:v>43</c:v>
                </c:pt>
                <c:pt idx="1">
                  <c:v>22</c:v>
                </c:pt>
                <c:pt idx="2">
                  <c:v>8</c:v>
                </c:pt>
                <c:pt idx="3">
                  <c:v>0</c:v>
                </c:pt>
                <c:pt idx="4">
                  <c:v>0</c:v>
                </c:pt>
                <c:pt idx="5">
                  <c:v>0</c:v>
                </c:pt>
              </c:numCache>
            </c:numRef>
          </c:val>
          <c:smooth val="0"/>
          <c:extLst>
            <c:ext xmlns:c16="http://schemas.microsoft.com/office/drawing/2014/chart" uri="{C3380CC4-5D6E-409C-BE32-E72D297353CC}">
              <c16:uniqueId val="{00000007-0773-4F2F-94F0-A3E2F2715BB9}"/>
            </c:ext>
          </c:extLst>
        </c:ser>
        <c:ser>
          <c:idx val="6"/>
          <c:order val="6"/>
          <c:tx>
            <c:strRef>
              <c:f>All!$A$8</c:f>
              <c:strCache>
                <c:ptCount val="1"/>
                <c:pt idx="0">
                  <c:v>CSC4350</c:v>
                </c:pt>
              </c:strCache>
            </c:strRef>
          </c:tx>
          <c:spPr>
            <a:ln w="28575" cap="rnd">
              <a:solidFill>
                <a:schemeClr val="accent1">
                  <a:lumMod val="60000"/>
                </a:schemeClr>
              </a:solidFill>
              <a:round/>
            </a:ln>
            <a:effectLst/>
          </c:spPr>
          <c:marker>
            <c:symbol val="none"/>
          </c:marker>
          <c:cat>
            <c:strRef>
              <c:f>All!$B$1:$G$1</c:f>
              <c:strCache>
                <c:ptCount val="6"/>
                <c:pt idx="0">
                  <c:v>A</c:v>
                </c:pt>
                <c:pt idx="1">
                  <c:v>B</c:v>
                </c:pt>
                <c:pt idx="2">
                  <c:v>C</c:v>
                </c:pt>
                <c:pt idx="3">
                  <c:v>D</c:v>
                </c:pt>
                <c:pt idx="4">
                  <c:v>F</c:v>
                </c:pt>
                <c:pt idx="5">
                  <c:v>W</c:v>
                </c:pt>
              </c:strCache>
            </c:strRef>
          </c:cat>
          <c:val>
            <c:numRef>
              <c:f>All!$B$8:$G$8</c:f>
              <c:numCache>
                <c:formatCode>General</c:formatCode>
                <c:ptCount val="6"/>
                <c:pt idx="0">
                  <c:v>29</c:v>
                </c:pt>
                <c:pt idx="1">
                  <c:v>49</c:v>
                </c:pt>
                <c:pt idx="2">
                  <c:v>19</c:v>
                </c:pt>
                <c:pt idx="3">
                  <c:v>0</c:v>
                </c:pt>
                <c:pt idx="4">
                  <c:v>2</c:v>
                </c:pt>
                <c:pt idx="5">
                  <c:v>1</c:v>
                </c:pt>
              </c:numCache>
            </c:numRef>
          </c:val>
          <c:smooth val="0"/>
          <c:extLst>
            <c:ext xmlns:c16="http://schemas.microsoft.com/office/drawing/2014/chart" uri="{C3380CC4-5D6E-409C-BE32-E72D297353CC}">
              <c16:uniqueId val="{00000008-0773-4F2F-94F0-A3E2F2715BB9}"/>
            </c:ext>
          </c:extLst>
        </c:ser>
        <c:dLbls>
          <c:showLegendKey val="0"/>
          <c:showVal val="0"/>
          <c:showCatName val="0"/>
          <c:showSerName val="0"/>
          <c:showPercent val="0"/>
          <c:showBubbleSize val="0"/>
        </c:dLbls>
        <c:smooth val="0"/>
        <c:axId val="347988112"/>
        <c:axId val="347989360"/>
      </c:lineChart>
      <c:catAx>
        <c:axId val="347988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989360"/>
        <c:crosses val="autoZero"/>
        <c:auto val="1"/>
        <c:lblAlgn val="ctr"/>
        <c:lblOffset val="100"/>
        <c:noMultiLvlLbl val="0"/>
      </c:catAx>
      <c:valAx>
        <c:axId val="347989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98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CSC 1010 Grade Disribution Per Professor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'CCS1010'!$S$19</c:f>
              <c:strCache>
                <c:ptCount val="1"/>
                <c:pt idx="0">
                  <c:v>Prof A</c:v>
                </c:pt>
              </c:strCache>
            </c:strRef>
          </c:tx>
          <c:spPr>
            <a:solidFill>
              <a:schemeClr val="accent1"/>
            </a:solidFill>
            <a:ln>
              <a:noFill/>
            </a:ln>
            <a:effectLst/>
          </c:spPr>
          <c:invertIfNegative val="0"/>
          <c:cat>
            <c:strRef>
              <c:f>'CCS1010'!$T$18:$Y$18</c:f>
              <c:strCache>
                <c:ptCount val="6"/>
                <c:pt idx="0">
                  <c:v>A</c:v>
                </c:pt>
                <c:pt idx="1">
                  <c:v>B</c:v>
                </c:pt>
                <c:pt idx="2">
                  <c:v>C</c:v>
                </c:pt>
                <c:pt idx="3">
                  <c:v>D</c:v>
                </c:pt>
                <c:pt idx="4">
                  <c:v>F</c:v>
                </c:pt>
                <c:pt idx="5">
                  <c:v>W</c:v>
                </c:pt>
              </c:strCache>
            </c:strRef>
          </c:cat>
          <c:val>
            <c:numRef>
              <c:f>'CCS1010'!$T$19:$Y$19</c:f>
              <c:numCache>
                <c:formatCode>General</c:formatCode>
                <c:ptCount val="6"/>
                <c:pt idx="0">
                  <c:v>25</c:v>
                </c:pt>
                <c:pt idx="1">
                  <c:v>35</c:v>
                </c:pt>
                <c:pt idx="2">
                  <c:v>15</c:v>
                </c:pt>
                <c:pt idx="3">
                  <c:v>6.67</c:v>
                </c:pt>
                <c:pt idx="4">
                  <c:v>13.33</c:v>
                </c:pt>
                <c:pt idx="5">
                  <c:v>5</c:v>
                </c:pt>
              </c:numCache>
            </c:numRef>
          </c:val>
          <c:extLst>
            <c:ext xmlns:c16="http://schemas.microsoft.com/office/drawing/2014/chart" uri="{C3380CC4-5D6E-409C-BE32-E72D297353CC}">
              <c16:uniqueId val="{00000000-9EC5-464C-9629-4F245F15CB92}"/>
            </c:ext>
          </c:extLst>
        </c:ser>
        <c:ser>
          <c:idx val="1"/>
          <c:order val="1"/>
          <c:tx>
            <c:strRef>
              <c:f>'CCS1010'!$S$20</c:f>
              <c:strCache>
                <c:ptCount val="1"/>
                <c:pt idx="0">
                  <c:v>Prof B</c:v>
                </c:pt>
              </c:strCache>
            </c:strRef>
          </c:tx>
          <c:spPr>
            <a:solidFill>
              <a:schemeClr val="accent2"/>
            </a:solidFill>
            <a:ln>
              <a:noFill/>
            </a:ln>
            <a:effectLst/>
          </c:spPr>
          <c:invertIfNegative val="0"/>
          <c:cat>
            <c:strRef>
              <c:f>'CCS1010'!$T$18:$Y$18</c:f>
              <c:strCache>
                <c:ptCount val="6"/>
                <c:pt idx="0">
                  <c:v>A</c:v>
                </c:pt>
                <c:pt idx="1">
                  <c:v>B</c:v>
                </c:pt>
                <c:pt idx="2">
                  <c:v>C</c:v>
                </c:pt>
                <c:pt idx="3">
                  <c:v>D</c:v>
                </c:pt>
                <c:pt idx="4">
                  <c:v>F</c:v>
                </c:pt>
                <c:pt idx="5">
                  <c:v>W</c:v>
                </c:pt>
              </c:strCache>
            </c:strRef>
          </c:cat>
          <c:val>
            <c:numRef>
              <c:f>'CCS1010'!$T$20:$Y$20</c:f>
              <c:numCache>
                <c:formatCode>General</c:formatCode>
                <c:ptCount val="6"/>
                <c:pt idx="0">
                  <c:v>43.5</c:v>
                </c:pt>
                <c:pt idx="1">
                  <c:v>30</c:v>
                </c:pt>
                <c:pt idx="2">
                  <c:v>13</c:v>
                </c:pt>
                <c:pt idx="3">
                  <c:v>3.335</c:v>
                </c:pt>
                <c:pt idx="4">
                  <c:v>6.665</c:v>
                </c:pt>
                <c:pt idx="5">
                  <c:v>3</c:v>
                </c:pt>
              </c:numCache>
            </c:numRef>
          </c:val>
          <c:extLst>
            <c:ext xmlns:c16="http://schemas.microsoft.com/office/drawing/2014/chart" uri="{C3380CC4-5D6E-409C-BE32-E72D297353CC}">
              <c16:uniqueId val="{00000001-9EC5-464C-9629-4F245F15CB92}"/>
            </c:ext>
          </c:extLst>
        </c:ser>
        <c:ser>
          <c:idx val="2"/>
          <c:order val="2"/>
          <c:tx>
            <c:strRef>
              <c:f>'CCS1010'!$S$21</c:f>
              <c:strCache>
                <c:ptCount val="1"/>
                <c:pt idx="0">
                  <c:v>Prof C</c:v>
                </c:pt>
              </c:strCache>
            </c:strRef>
          </c:tx>
          <c:spPr>
            <a:solidFill>
              <a:schemeClr val="accent3"/>
            </a:solidFill>
            <a:ln>
              <a:noFill/>
            </a:ln>
            <a:effectLst/>
          </c:spPr>
          <c:invertIfNegative val="0"/>
          <c:cat>
            <c:strRef>
              <c:f>'CCS1010'!$T$18:$Y$18</c:f>
              <c:strCache>
                <c:ptCount val="6"/>
                <c:pt idx="0">
                  <c:v>A</c:v>
                </c:pt>
                <c:pt idx="1">
                  <c:v>B</c:v>
                </c:pt>
                <c:pt idx="2">
                  <c:v>C</c:v>
                </c:pt>
                <c:pt idx="3">
                  <c:v>D</c:v>
                </c:pt>
                <c:pt idx="4">
                  <c:v>F</c:v>
                </c:pt>
                <c:pt idx="5">
                  <c:v>W</c:v>
                </c:pt>
              </c:strCache>
            </c:strRef>
          </c:cat>
          <c:val>
            <c:numRef>
              <c:f>'CCS1010'!$T$21:$Y$21</c:f>
              <c:numCache>
                <c:formatCode>General</c:formatCode>
                <c:ptCount val="6"/>
                <c:pt idx="0">
                  <c:v>62</c:v>
                </c:pt>
                <c:pt idx="1">
                  <c:v>25.5</c:v>
                </c:pt>
                <c:pt idx="2">
                  <c:v>11.5</c:v>
                </c:pt>
                <c:pt idx="3">
                  <c:v>0</c:v>
                </c:pt>
                <c:pt idx="4">
                  <c:v>0</c:v>
                </c:pt>
                <c:pt idx="5">
                  <c:v>1.5</c:v>
                </c:pt>
              </c:numCache>
            </c:numRef>
          </c:val>
          <c:extLst>
            <c:ext xmlns:c16="http://schemas.microsoft.com/office/drawing/2014/chart" uri="{C3380CC4-5D6E-409C-BE32-E72D297353CC}">
              <c16:uniqueId val="{00000002-9EC5-464C-9629-4F245F15CB92}"/>
            </c:ext>
          </c:extLst>
        </c:ser>
        <c:ser>
          <c:idx val="3"/>
          <c:order val="3"/>
          <c:tx>
            <c:strRef>
              <c:f>'CCS1010'!$S$22</c:f>
              <c:strCache>
                <c:ptCount val="1"/>
                <c:pt idx="0">
                  <c:v>Prof D</c:v>
                </c:pt>
              </c:strCache>
            </c:strRef>
          </c:tx>
          <c:spPr>
            <a:solidFill>
              <a:schemeClr val="accent4"/>
            </a:solidFill>
            <a:ln>
              <a:noFill/>
            </a:ln>
            <a:effectLst/>
          </c:spPr>
          <c:invertIfNegative val="0"/>
          <c:cat>
            <c:strRef>
              <c:f>'CCS1010'!$T$18:$Y$18</c:f>
              <c:strCache>
                <c:ptCount val="6"/>
                <c:pt idx="0">
                  <c:v>A</c:v>
                </c:pt>
                <c:pt idx="1">
                  <c:v>B</c:v>
                </c:pt>
                <c:pt idx="2">
                  <c:v>C</c:v>
                </c:pt>
                <c:pt idx="3">
                  <c:v>D</c:v>
                </c:pt>
                <c:pt idx="4">
                  <c:v>F</c:v>
                </c:pt>
                <c:pt idx="5">
                  <c:v>W</c:v>
                </c:pt>
              </c:strCache>
            </c:strRef>
          </c:cat>
          <c:val>
            <c:numRef>
              <c:f>'CCS1010'!$T$22:$Y$22</c:f>
              <c:numCache>
                <c:formatCode>General</c:formatCode>
                <c:ptCount val="6"/>
                <c:pt idx="0">
                  <c:v>57</c:v>
                </c:pt>
                <c:pt idx="1">
                  <c:v>18.5</c:v>
                </c:pt>
                <c:pt idx="2">
                  <c:v>11.5</c:v>
                </c:pt>
                <c:pt idx="3">
                  <c:v>6.665</c:v>
                </c:pt>
                <c:pt idx="4">
                  <c:v>3.335</c:v>
                </c:pt>
                <c:pt idx="5">
                  <c:v>3.5000000000000004</c:v>
                </c:pt>
              </c:numCache>
            </c:numRef>
          </c:val>
          <c:extLst>
            <c:ext xmlns:c16="http://schemas.microsoft.com/office/drawing/2014/chart" uri="{C3380CC4-5D6E-409C-BE32-E72D297353CC}">
              <c16:uniqueId val="{00000003-9EC5-464C-9629-4F245F15CB92}"/>
            </c:ext>
          </c:extLst>
        </c:ser>
        <c:dLbls>
          <c:showLegendKey val="0"/>
          <c:showVal val="0"/>
          <c:showCatName val="0"/>
          <c:showSerName val="0"/>
          <c:showPercent val="0"/>
          <c:showBubbleSize val="0"/>
        </c:dLbls>
        <c:gapWidth val="219"/>
        <c:overlap val="-27"/>
        <c:axId val="923623360"/>
        <c:axId val="923622528"/>
      </c:barChart>
      <c:catAx>
        <c:axId val="92362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622528"/>
        <c:crosses val="autoZero"/>
        <c:auto val="1"/>
        <c:lblAlgn val="ctr"/>
        <c:lblOffset val="100"/>
        <c:noMultiLvlLbl val="0"/>
      </c:catAx>
      <c:valAx>
        <c:axId val="923622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623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b="1"/>
              <a:t>Average</a:t>
            </a:r>
            <a:r>
              <a:rPr lang="en-US" sz="1050" b="1" baseline="0"/>
              <a:t> Grade Percentage Per Professor CSC1700</a:t>
            </a:r>
            <a:endParaRPr lang="en-US" sz="1050" b="1"/>
          </a:p>
        </c:rich>
      </c:tx>
      <c:layout>
        <c:manualLayout>
          <c:xMode val="edge"/>
          <c:yMode val="edge"/>
          <c:x val="0.12282973378977428"/>
          <c:y val="2.5915127955944282E-2"/>
        </c:manualLayout>
      </c:layout>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'CSC1700'!$U$24</c:f>
              <c:strCache>
                <c:ptCount val="1"/>
                <c:pt idx="0">
                  <c:v>Prof A</c:v>
                </c:pt>
              </c:strCache>
            </c:strRef>
          </c:tx>
          <c:spPr>
            <a:solidFill>
              <a:schemeClr val="accent1"/>
            </a:solidFill>
            <a:ln>
              <a:noFill/>
            </a:ln>
            <a:effectLst/>
          </c:spPr>
          <c:invertIfNegative val="0"/>
          <c:cat>
            <c:strRef>
              <c:f>'CSC1700'!$V$23:$AA$23</c:f>
              <c:strCache>
                <c:ptCount val="6"/>
                <c:pt idx="0">
                  <c:v>Perc A</c:v>
                </c:pt>
                <c:pt idx="1">
                  <c:v>Perc B</c:v>
                </c:pt>
                <c:pt idx="2">
                  <c:v>Perc C</c:v>
                </c:pt>
                <c:pt idx="3">
                  <c:v>Perc D</c:v>
                </c:pt>
                <c:pt idx="4">
                  <c:v>Perc F</c:v>
                </c:pt>
                <c:pt idx="5">
                  <c:v>Perc W</c:v>
                </c:pt>
              </c:strCache>
            </c:strRef>
          </c:cat>
          <c:val>
            <c:numRef>
              <c:f>'CSC1700'!$V$24:$AA$24</c:f>
              <c:numCache>
                <c:formatCode>General</c:formatCode>
                <c:ptCount val="6"/>
                <c:pt idx="0">
                  <c:v>39.799999999999997</c:v>
                </c:pt>
                <c:pt idx="1">
                  <c:v>24.299999999999997</c:v>
                </c:pt>
                <c:pt idx="2">
                  <c:v>6.6</c:v>
                </c:pt>
                <c:pt idx="3">
                  <c:v>0</c:v>
                </c:pt>
                <c:pt idx="4">
                  <c:v>9.1</c:v>
                </c:pt>
                <c:pt idx="5">
                  <c:v>4.55</c:v>
                </c:pt>
              </c:numCache>
            </c:numRef>
          </c:val>
          <c:extLst>
            <c:ext xmlns:c16="http://schemas.microsoft.com/office/drawing/2014/chart" uri="{C3380CC4-5D6E-409C-BE32-E72D297353CC}">
              <c16:uniqueId val="{00000000-A4A8-4BEA-BC33-10E8CB6070A5}"/>
            </c:ext>
          </c:extLst>
        </c:ser>
        <c:ser>
          <c:idx val="1"/>
          <c:order val="1"/>
          <c:tx>
            <c:strRef>
              <c:f>'CSC1700'!$U$25</c:f>
              <c:strCache>
                <c:ptCount val="1"/>
                <c:pt idx="0">
                  <c:v>Prof B</c:v>
                </c:pt>
              </c:strCache>
            </c:strRef>
          </c:tx>
          <c:spPr>
            <a:solidFill>
              <a:schemeClr val="accent2"/>
            </a:solidFill>
            <a:ln>
              <a:noFill/>
            </a:ln>
            <a:effectLst/>
          </c:spPr>
          <c:invertIfNegative val="0"/>
          <c:cat>
            <c:strRef>
              <c:f>'CSC1700'!$V$23:$AA$23</c:f>
              <c:strCache>
                <c:ptCount val="6"/>
                <c:pt idx="0">
                  <c:v>Perc A</c:v>
                </c:pt>
                <c:pt idx="1">
                  <c:v>Perc B</c:v>
                </c:pt>
                <c:pt idx="2">
                  <c:v>Perc C</c:v>
                </c:pt>
                <c:pt idx="3">
                  <c:v>Perc D</c:v>
                </c:pt>
                <c:pt idx="4">
                  <c:v>Perc F</c:v>
                </c:pt>
                <c:pt idx="5">
                  <c:v>Perc W</c:v>
                </c:pt>
              </c:strCache>
            </c:strRef>
          </c:cat>
          <c:val>
            <c:numRef>
              <c:f>'CSC1700'!$V$25:$AA$25</c:f>
              <c:numCache>
                <c:formatCode>General</c:formatCode>
                <c:ptCount val="6"/>
                <c:pt idx="0">
                  <c:v>27.912500000000001</c:v>
                </c:pt>
                <c:pt idx="1">
                  <c:v>34.075000000000003</c:v>
                </c:pt>
                <c:pt idx="2">
                  <c:v>15.4375</c:v>
                </c:pt>
                <c:pt idx="3">
                  <c:v>4.0374999999999996</c:v>
                </c:pt>
                <c:pt idx="4">
                  <c:v>7.9249999999999998</c:v>
                </c:pt>
                <c:pt idx="5">
                  <c:v>10.574999999999999</c:v>
                </c:pt>
              </c:numCache>
            </c:numRef>
          </c:val>
          <c:extLst>
            <c:ext xmlns:c16="http://schemas.microsoft.com/office/drawing/2014/chart" uri="{C3380CC4-5D6E-409C-BE32-E72D297353CC}">
              <c16:uniqueId val="{00000001-A4A8-4BEA-BC33-10E8CB6070A5}"/>
            </c:ext>
          </c:extLst>
        </c:ser>
        <c:ser>
          <c:idx val="2"/>
          <c:order val="2"/>
          <c:tx>
            <c:strRef>
              <c:f>'CSC1700'!$U$26</c:f>
              <c:strCache>
                <c:ptCount val="1"/>
                <c:pt idx="0">
                  <c:v>Prof C</c:v>
                </c:pt>
              </c:strCache>
            </c:strRef>
          </c:tx>
          <c:spPr>
            <a:solidFill>
              <a:schemeClr val="accent3"/>
            </a:solidFill>
            <a:ln>
              <a:noFill/>
            </a:ln>
            <a:effectLst/>
          </c:spPr>
          <c:invertIfNegative val="0"/>
          <c:cat>
            <c:strRef>
              <c:f>'CSC1700'!$V$23:$AA$23</c:f>
              <c:strCache>
                <c:ptCount val="6"/>
                <c:pt idx="0">
                  <c:v>Perc A</c:v>
                </c:pt>
                <c:pt idx="1">
                  <c:v>Perc B</c:v>
                </c:pt>
                <c:pt idx="2">
                  <c:v>Perc C</c:v>
                </c:pt>
                <c:pt idx="3">
                  <c:v>Perc D</c:v>
                </c:pt>
                <c:pt idx="4">
                  <c:v>Perc F</c:v>
                </c:pt>
                <c:pt idx="5">
                  <c:v>Perc W</c:v>
                </c:pt>
              </c:strCache>
            </c:strRef>
          </c:cat>
          <c:val>
            <c:numRef>
              <c:f>'CSC1700'!$V$26:$AA$26</c:f>
              <c:numCache>
                <c:formatCode>General</c:formatCode>
                <c:ptCount val="6"/>
                <c:pt idx="0">
                  <c:v>25.125185185185185</c:v>
                </c:pt>
                <c:pt idx="1">
                  <c:v>19.68</c:v>
                </c:pt>
                <c:pt idx="2">
                  <c:v>22.1</c:v>
                </c:pt>
                <c:pt idx="3">
                  <c:v>7.8400000000000007</c:v>
                </c:pt>
                <c:pt idx="4">
                  <c:v>6.1199999999999992</c:v>
                </c:pt>
                <c:pt idx="5">
                  <c:v>19.079999999999998</c:v>
                </c:pt>
              </c:numCache>
            </c:numRef>
          </c:val>
          <c:extLst>
            <c:ext xmlns:c16="http://schemas.microsoft.com/office/drawing/2014/chart" uri="{C3380CC4-5D6E-409C-BE32-E72D297353CC}">
              <c16:uniqueId val="{00000002-A4A8-4BEA-BC33-10E8CB6070A5}"/>
            </c:ext>
          </c:extLst>
        </c:ser>
        <c:dLbls>
          <c:showLegendKey val="0"/>
          <c:showVal val="0"/>
          <c:showCatName val="0"/>
          <c:showSerName val="0"/>
          <c:showPercent val="0"/>
          <c:showBubbleSize val="0"/>
        </c:dLbls>
        <c:gapWidth val="219"/>
        <c:overlap val="-27"/>
        <c:axId val="308852208"/>
        <c:axId val="308849712"/>
      </c:barChart>
      <c:catAx>
        <c:axId val="30885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849712"/>
        <c:crosses val="autoZero"/>
        <c:auto val="1"/>
        <c:lblAlgn val="ctr"/>
        <c:lblOffset val="100"/>
        <c:noMultiLvlLbl val="0"/>
      </c:catAx>
      <c:valAx>
        <c:axId val="308849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85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a:t>
            </a:r>
            <a:r>
              <a:rPr lang="en-US" baseline="0"/>
              <a:t> Grades Per Professor CSC2650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'CSC2650'!$H$18</c:f>
              <c:strCache>
                <c:ptCount val="1"/>
                <c:pt idx="0">
                  <c:v>Prof A</c:v>
                </c:pt>
              </c:strCache>
            </c:strRef>
          </c:tx>
          <c:spPr>
            <a:solidFill>
              <a:schemeClr val="accent1"/>
            </a:solidFill>
            <a:ln>
              <a:noFill/>
            </a:ln>
            <a:effectLst/>
          </c:spPr>
          <c:invertIfNegative val="0"/>
          <c:cat>
            <c:strRef>
              <c:f>'CSC2650'!$I$17:$N$17</c:f>
              <c:strCache>
                <c:ptCount val="6"/>
                <c:pt idx="0">
                  <c:v>Perc A</c:v>
                </c:pt>
                <c:pt idx="1">
                  <c:v>Perc B</c:v>
                </c:pt>
                <c:pt idx="2">
                  <c:v>Perc C</c:v>
                </c:pt>
                <c:pt idx="3">
                  <c:v>Perc D</c:v>
                </c:pt>
                <c:pt idx="4">
                  <c:v>Perc F</c:v>
                </c:pt>
                <c:pt idx="5">
                  <c:v>Perc W</c:v>
                </c:pt>
              </c:strCache>
            </c:strRef>
          </c:cat>
          <c:val>
            <c:numRef>
              <c:f>'CSC2650'!$I$18:$N$18</c:f>
              <c:numCache>
                <c:formatCode>General</c:formatCode>
                <c:ptCount val="6"/>
                <c:pt idx="0">
                  <c:v>12.5</c:v>
                </c:pt>
                <c:pt idx="1">
                  <c:v>30.8</c:v>
                </c:pt>
                <c:pt idx="2">
                  <c:v>30</c:v>
                </c:pt>
                <c:pt idx="3">
                  <c:v>8.3000000000000007</c:v>
                </c:pt>
                <c:pt idx="4">
                  <c:v>2.5</c:v>
                </c:pt>
                <c:pt idx="5">
                  <c:v>7.5</c:v>
                </c:pt>
              </c:numCache>
            </c:numRef>
          </c:val>
          <c:extLst>
            <c:ext xmlns:c16="http://schemas.microsoft.com/office/drawing/2014/chart" uri="{C3380CC4-5D6E-409C-BE32-E72D297353CC}">
              <c16:uniqueId val="{00000000-DBB4-47A5-A15E-5C66D6092B02}"/>
            </c:ext>
          </c:extLst>
        </c:ser>
        <c:ser>
          <c:idx val="1"/>
          <c:order val="1"/>
          <c:tx>
            <c:strRef>
              <c:f>'CSC2650'!$H$19</c:f>
              <c:strCache>
                <c:ptCount val="1"/>
                <c:pt idx="0">
                  <c:v>Prof B</c:v>
                </c:pt>
              </c:strCache>
            </c:strRef>
          </c:tx>
          <c:spPr>
            <a:solidFill>
              <a:schemeClr val="accent2"/>
            </a:solidFill>
            <a:ln>
              <a:noFill/>
            </a:ln>
            <a:effectLst/>
          </c:spPr>
          <c:invertIfNegative val="0"/>
          <c:cat>
            <c:strRef>
              <c:f>'CSC2650'!$I$17:$N$17</c:f>
              <c:strCache>
                <c:ptCount val="6"/>
                <c:pt idx="0">
                  <c:v>Perc A</c:v>
                </c:pt>
                <c:pt idx="1">
                  <c:v>Perc B</c:v>
                </c:pt>
                <c:pt idx="2">
                  <c:v>Perc C</c:v>
                </c:pt>
                <c:pt idx="3">
                  <c:v>Perc D</c:v>
                </c:pt>
                <c:pt idx="4">
                  <c:v>Perc F</c:v>
                </c:pt>
                <c:pt idx="5">
                  <c:v>Perc W</c:v>
                </c:pt>
              </c:strCache>
            </c:strRef>
          </c:cat>
          <c:val>
            <c:numRef>
              <c:f>'CSC2650'!$I$19:$N$19</c:f>
              <c:numCache>
                <c:formatCode>General</c:formatCode>
                <c:ptCount val="6"/>
                <c:pt idx="0">
                  <c:v>33.299999999999997</c:v>
                </c:pt>
                <c:pt idx="1">
                  <c:v>31.9</c:v>
                </c:pt>
                <c:pt idx="2">
                  <c:v>14.5</c:v>
                </c:pt>
                <c:pt idx="3">
                  <c:v>4.3</c:v>
                </c:pt>
                <c:pt idx="4">
                  <c:v>5.8</c:v>
                </c:pt>
                <c:pt idx="5">
                  <c:v>10.1</c:v>
                </c:pt>
              </c:numCache>
            </c:numRef>
          </c:val>
          <c:extLst>
            <c:ext xmlns:c16="http://schemas.microsoft.com/office/drawing/2014/chart" uri="{C3380CC4-5D6E-409C-BE32-E72D297353CC}">
              <c16:uniqueId val="{00000001-DBB4-47A5-A15E-5C66D6092B02}"/>
            </c:ext>
          </c:extLst>
        </c:ser>
        <c:dLbls>
          <c:showLegendKey val="0"/>
          <c:showVal val="0"/>
          <c:showCatName val="0"/>
          <c:showSerName val="0"/>
          <c:showPercent val="0"/>
          <c:showBubbleSize val="0"/>
        </c:dLbls>
        <c:gapWidth val="219"/>
        <c:overlap val="-27"/>
        <c:axId val="308850128"/>
        <c:axId val="308851376"/>
      </c:barChart>
      <c:catAx>
        <c:axId val="308850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851376"/>
        <c:crosses val="autoZero"/>
        <c:auto val="1"/>
        <c:lblAlgn val="ctr"/>
        <c:lblOffset val="100"/>
        <c:noMultiLvlLbl val="0"/>
      </c:catAx>
      <c:valAx>
        <c:axId val="30885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850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{FC17E92E-ED4A-4ECA-85CD-FAE838DE8BFC}</b:Guid>
    <b:Author>
      <b:Author>
        <b:NameList>
          <b:Person>
            <b:Last>Wikipedia.com</b:Last>
          </b:Person>
        </b:NameList>
      </b:Author>
    </b:Author>
    <b:Title>Gender disparity in computing</b:Title>
    <b:Year>2021</b:Year>
    <b:InternetSiteTitle>Gender disparity in computing</b:InternetSiteTitle>
    <b:Month>2</b:Month>
    <b:Day>6</b:Day>
    <b:URL>https://en.wikipedia.org/wiki/Gender_disparity_in_computing</b:URL>
    <b:RefOrder>1</b:RefOrder>
  </b:Source>
</b:Sources>
</file>

<file path=customXml/itemProps1.xml><?xml version="1.0" encoding="utf-8"?>
<ds:datastoreItem xmlns:ds="http://schemas.openxmlformats.org/officeDocument/2006/customXml" ds:itemID="{8F73199A-AD85-4408-8861-76A1BA4F8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2700</TotalTime>
  <Pages>1</Pages>
  <Words>4466</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Program Review</vt:lpstr>
    </vt:vector>
  </TitlesOfParts>
  <Company>Aurora University</Company>
  <LinksUpToDate>false</LinksUpToDate>
  <CharactersWithSpaces>29864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Review</dc:title>
  <dc:creator>Thinkpad</dc:creator>
  <cp:lastModifiedBy>Administrator</cp:lastModifiedBy>
  <cp:revision>34</cp:revision>
  <cp:lastPrinted>2014-03-03T16:22:00Z</cp:lastPrinted>
  <dcterms:created xsi:type="dcterms:W3CDTF">2021-02-07T00:22:00Z</dcterms:created>
  <dcterms:modified xsi:type="dcterms:W3CDTF">2021-02-18T15:41:00Z</dcterms:modified>
</cp:coreProperties>
</file>